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DAD2" w14:textId="451C5ADF" w:rsidR="000D2350" w:rsidRPr="00DA14F0" w:rsidRDefault="003A7B29">
      <w:pPr>
        <w:spacing w:after="120"/>
        <w:jc w:val="center"/>
        <w:rPr>
          <w:rFonts w:eastAsia="標楷體"/>
          <w:sz w:val="28"/>
          <w:szCs w:val="28"/>
        </w:rPr>
      </w:pPr>
      <w:r w:rsidRPr="003A7B29">
        <w:rPr>
          <w:rFonts w:eastAsia="標楷體" w:hAnsi="標楷體"/>
          <w:sz w:val="28"/>
          <w:szCs w:val="28"/>
        </w:rPr>
        <w:t>Legal Affairs Department Legal Consultation Form (Example)</w:t>
      </w:r>
    </w:p>
    <w:p w14:paraId="769BF4F2" w14:textId="2AC018AF" w:rsidR="00100B5B" w:rsidRPr="00DA14F0" w:rsidRDefault="003A7B29" w:rsidP="00AE3E7C">
      <w:pPr>
        <w:wordWrap w:val="0"/>
        <w:ind w:leftChars="2200" w:left="5280" w:right="620"/>
        <w:jc w:val="right"/>
        <w:rPr>
          <w:rFonts w:eastAsia="標楷體" w:hint="eastAsia"/>
          <w:sz w:val="20"/>
        </w:rPr>
      </w:pPr>
      <w:r>
        <w:rPr>
          <w:rFonts w:eastAsia="標楷體" w:hAnsi="標楷體" w:hint="eastAsia"/>
          <w:sz w:val="20"/>
        </w:rPr>
        <w:t>Date</w:t>
      </w:r>
      <w:r>
        <w:rPr>
          <w:rFonts w:eastAsia="標楷體" w:hAnsi="標楷體" w:hint="eastAsia"/>
          <w:sz w:val="20"/>
        </w:rPr>
        <w:t>：</w:t>
      </w:r>
      <w:r>
        <w:rPr>
          <w:rFonts w:eastAsia="標楷體" w:hAnsi="標楷體" w:hint="eastAsia"/>
          <w:sz w:val="20"/>
        </w:rPr>
        <w:t>Nov 11,202X</w:t>
      </w:r>
    </w:p>
    <w:p w14:paraId="1177BFAE" w14:textId="23FA24C0" w:rsidR="000D2350" w:rsidRPr="00AD64AD" w:rsidRDefault="00977194" w:rsidP="00977194">
      <w:pPr>
        <w:snapToGrid w:val="0"/>
        <w:ind w:left="284" w:right="618" w:hangingChars="142" w:hanging="284"/>
        <w:rPr>
          <w:rFonts w:eastAsia="標楷體"/>
          <w:sz w:val="20"/>
        </w:rPr>
      </w:pPr>
      <w:r>
        <w:rPr>
          <w:rFonts w:eastAsia="標楷體" w:hint="eastAsia"/>
          <w:sz w:val="20"/>
        </w:rPr>
        <w:t>※</w:t>
      </w:r>
      <w:r w:rsidR="003A7B29" w:rsidRPr="003A7B29">
        <w:rPr>
          <w:rFonts w:eastAsia="標楷體"/>
          <w:sz w:val="20"/>
        </w:rPr>
        <w:t>The personal information collected in this form is processed in accordance with the Personal Data Protection Act to protect your personal data.</w:t>
      </w:r>
      <w:r w:rsidR="000D2350" w:rsidRPr="0037373D">
        <w:rPr>
          <w:rFonts w:eastAsia="標楷體"/>
          <w:sz w:val="20"/>
        </w:rPr>
        <w:t xml:space="preserve"> </w:t>
      </w:r>
    </w:p>
    <w:tbl>
      <w:tblPr>
        <w:tblW w:w="10440" w:type="dxa"/>
        <w:tblInd w:w="2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2640"/>
        <w:gridCol w:w="1560"/>
        <w:gridCol w:w="870"/>
        <w:gridCol w:w="2970"/>
      </w:tblGrid>
      <w:tr w:rsidR="00EF7A23" w:rsidRPr="00DA14F0" w14:paraId="7CB95E5D" w14:textId="77777777" w:rsidTr="00DA5956">
        <w:trPr>
          <w:cantSplit/>
        </w:trPr>
        <w:tc>
          <w:tcPr>
            <w:tcW w:w="5040" w:type="dxa"/>
            <w:gridSpan w:val="2"/>
            <w:vMerge w:val="restart"/>
            <w:tcBorders>
              <w:top w:val="double" w:sz="4" w:space="0" w:color="auto"/>
              <w:left w:val="double" w:sz="4" w:space="0" w:color="auto"/>
              <w:right w:val="double" w:sz="4" w:space="0" w:color="auto"/>
            </w:tcBorders>
          </w:tcPr>
          <w:p w14:paraId="620C3730" w14:textId="683A1796" w:rsidR="00765C1C" w:rsidRDefault="00977194" w:rsidP="00A7333D">
            <w:pPr>
              <w:rPr>
                <w:rFonts w:eastAsia="標楷體" w:hAnsi="標楷體" w:hint="eastAsia"/>
                <w:szCs w:val="24"/>
              </w:rPr>
            </w:pPr>
            <w:r w:rsidRPr="00977194">
              <w:rPr>
                <w:rFonts w:eastAsia="標楷體" w:hAnsi="標楷體"/>
                <w:szCs w:val="24"/>
              </w:rPr>
              <w:t>Consultant Name</w:t>
            </w:r>
          </w:p>
          <w:p w14:paraId="58A6623F" w14:textId="4130A972" w:rsidR="00360BFD" w:rsidRPr="00360BFD" w:rsidRDefault="00977194" w:rsidP="00360BFD">
            <w:pPr>
              <w:jc w:val="center"/>
              <w:rPr>
                <w:rFonts w:eastAsia="標楷體"/>
                <w:sz w:val="32"/>
                <w:szCs w:val="32"/>
              </w:rPr>
            </w:pPr>
            <w:r w:rsidRPr="00977194">
              <w:rPr>
                <w:rFonts w:eastAsia="標楷體" w:hAnsi="標楷體"/>
                <w:sz w:val="32"/>
                <w:szCs w:val="32"/>
              </w:rPr>
              <w:t>Ming-De Lin</w:t>
            </w:r>
          </w:p>
        </w:tc>
        <w:tc>
          <w:tcPr>
            <w:tcW w:w="5400" w:type="dxa"/>
            <w:gridSpan w:val="3"/>
            <w:tcBorders>
              <w:top w:val="double" w:sz="4" w:space="0" w:color="auto"/>
              <w:left w:val="double" w:sz="4" w:space="0" w:color="auto"/>
              <w:right w:val="double" w:sz="4" w:space="0" w:color="auto"/>
            </w:tcBorders>
            <w:vAlign w:val="center"/>
          </w:tcPr>
          <w:p w14:paraId="0213FDE8" w14:textId="6F7E888F" w:rsidR="00DC2DA8" w:rsidRPr="00977194" w:rsidRDefault="00BB4479" w:rsidP="00DC2DA8">
            <w:pPr>
              <w:ind w:firstLineChars="50" w:firstLine="100"/>
              <w:rPr>
                <w:rFonts w:eastAsia="標楷體"/>
                <w:sz w:val="20"/>
              </w:rPr>
            </w:pPr>
            <w:r w:rsidRPr="00977194">
              <w:rPr>
                <w:rFonts w:eastAsia="標楷體"/>
                <w:sz w:val="20"/>
              </w:rPr>
              <w:t>□</w:t>
            </w:r>
            <w:r w:rsidR="00977194" w:rsidRPr="00977194">
              <w:rPr>
                <w:rFonts w:eastAsia="標楷體"/>
                <w:sz w:val="20"/>
              </w:rPr>
              <w:t xml:space="preserve"> O</w:t>
            </w:r>
            <w:r w:rsidR="00977194" w:rsidRPr="00977194">
              <w:rPr>
                <w:rFonts w:eastAsia="標楷體"/>
                <w:sz w:val="20"/>
              </w:rPr>
              <w:t>fficial Document Countersignature No</w:t>
            </w:r>
            <w:r w:rsidR="00977194" w:rsidRPr="00977194">
              <w:rPr>
                <w:rFonts w:eastAsia="標楷體"/>
                <w:sz w:val="20"/>
              </w:rPr>
              <w:t>.</w:t>
            </w:r>
          </w:p>
          <w:p w14:paraId="540059CA" w14:textId="7ED950A9" w:rsidR="004F40B1" w:rsidRPr="00977194" w:rsidRDefault="004F40B1" w:rsidP="00DC2DA8">
            <w:pPr>
              <w:ind w:firstLineChars="50" w:firstLine="100"/>
              <w:rPr>
                <w:rFonts w:eastAsia="標楷體"/>
                <w:sz w:val="20"/>
              </w:rPr>
            </w:pPr>
            <w:r w:rsidRPr="00977194">
              <w:rPr>
                <w:rFonts w:eastAsia="標楷體"/>
                <w:sz w:val="20"/>
              </w:rPr>
              <w:t>□</w:t>
            </w:r>
            <w:r w:rsidR="00977194" w:rsidRPr="00977194">
              <w:rPr>
                <w:rFonts w:eastAsia="標楷體"/>
                <w:sz w:val="20"/>
              </w:rPr>
              <w:t xml:space="preserve"> </w:t>
            </w:r>
            <w:r w:rsidR="00977194" w:rsidRPr="00977194">
              <w:rPr>
                <w:rFonts w:eastAsia="標楷體"/>
                <w:sz w:val="20"/>
                <w:lang w:eastAsia="zh-HK"/>
              </w:rPr>
              <w:t>Official Business Consultation</w:t>
            </w:r>
          </w:p>
          <w:p w14:paraId="2C81702E" w14:textId="5B113415" w:rsidR="00100B5B" w:rsidRPr="00DA14F0" w:rsidRDefault="00BB4479" w:rsidP="00DC2DA8">
            <w:pPr>
              <w:ind w:firstLineChars="50" w:firstLine="100"/>
              <w:rPr>
                <w:rFonts w:eastAsia="標楷體"/>
                <w:sz w:val="20"/>
              </w:rPr>
            </w:pPr>
            <w:r w:rsidRPr="00977194">
              <w:rPr>
                <w:rFonts w:eastAsia="標楷體"/>
                <w:sz w:val="20"/>
              </w:rPr>
              <w:t>□</w:t>
            </w:r>
            <w:r w:rsidR="00977194" w:rsidRPr="00977194">
              <w:rPr>
                <w:rFonts w:eastAsia="標楷體"/>
                <w:sz w:val="20"/>
              </w:rPr>
              <w:t xml:space="preserve"> </w:t>
            </w:r>
            <w:r w:rsidR="00977194" w:rsidRPr="00977194">
              <w:rPr>
                <w:rFonts w:eastAsia="標楷體"/>
                <w:sz w:val="20"/>
              </w:rPr>
              <w:t>Personal Consultation</w:t>
            </w:r>
            <w:r w:rsidR="00DA14F0" w:rsidRPr="00977194">
              <w:rPr>
                <w:rFonts w:eastAsia="標楷體"/>
                <w:sz w:val="20"/>
              </w:rPr>
              <w:t xml:space="preserve"> </w:t>
            </w:r>
          </w:p>
        </w:tc>
      </w:tr>
      <w:tr w:rsidR="00EF7A23" w:rsidRPr="00DA14F0" w14:paraId="242C46C3" w14:textId="77777777" w:rsidTr="00DA5956">
        <w:trPr>
          <w:cantSplit/>
        </w:trPr>
        <w:tc>
          <w:tcPr>
            <w:tcW w:w="5040" w:type="dxa"/>
            <w:gridSpan w:val="2"/>
            <w:vMerge/>
            <w:tcBorders>
              <w:left w:val="double" w:sz="4" w:space="0" w:color="auto"/>
              <w:right w:val="double" w:sz="4" w:space="0" w:color="auto"/>
            </w:tcBorders>
          </w:tcPr>
          <w:p w14:paraId="6E6604D4" w14:textId="77777777" w:rsidR="00EF7A23" w:rsidRPr="00DA14F0" w:rsidRDefault="00EF7A23">
            <w:pPr>
              <w:jc w:val="center"/>
              <w:rPr>
                <w:rFonts w:eastAsia="標楷體"/>
                <w:szCs w:val="24"/>
              </w:rPr>
            </w:pPr>
          </w:p>
        </w:tc>
        <w:tc>
          <w:tcPr>
            <w:tcW w:w="5400" w:type="dxa"/>
            <w:gridSpan w:val="3"/>
            <w:tcBorders>
              <w:left w:val="double" w:sz="4" w:space="0" w:color="auto"/>
              <w:right w:val="double" w:sz="4" w:space="0" w:color="auto"/>
            </w:tcBorders>
            <w:vAlign w:val="center"/>
          </w:tcPr>
          <w:p w14:paraId="1603A060" w14:textId="418E5D51" w:rsidR="00100B5B" w:rsidRPr="00977194" w:rsidRDefault="00977194" w:rsidP="00977194">
            <w:pPr>
              <w:pStyle w:val="a9"/>
              <w:numPr>
                <w:ilvl w:val="0"/>
                <w:numId w:val="30"/>
              </w:numPr>
              <w:ind w:leftChars="0"/>
              <w:rPr>
                <w:rFonts w:eastAsia="標楷體" w:hAnsi="標楷體"/>
                <w:strike/>
                <w:color w:val="FF0000"/>
                <w:sz w:val="20"/>
              </w:rPr>
            </w:pPr>
            <w:r w:rsidRPr="00977194">
              <w:rPr>
                <w:rFonts w:eastAsia="標楷體" w:hAnsi="標楷體"/>
                <w:sz w:val="20"/>
              </w:rPr>
              <w:t>Faculty</w:t>
            </w:r>
            <w:r w:rsidR="007D79C4" w:rsidRPr="00977194">
              <w:rPr>
                <w:rFonts w:eastAsia="標楷體" w:hAnsi="標楷體" w:hint="eastAsia"/>
                <w:sz w:val="20"/>
              </w:rPr>
              <w:t xml:space="preserve"> </w:t>
            </w:r>
            <w:r w:rsidR="00EB2A46" w:rsidRPr="00977194">
              <w:rPr>
                <w:rFonts w:eastAsia="標楷體" w:hAnsi="標楷體"/>
                <w:sz w:val="20"/>
              </w:rPr>
              <w:t xml:space="preserve">    </w:t>
            </w:r>
            <w:r w:rsidR="00BB4479" w:rsidRPr="00977194">
              <w:rPr>
                <w:rFonts w:ascii="標楷體" w:eastAsia="標楷體" w:hAnsi="標楷體" w:hint="eastAsia"/>
                <w:sz w:val="20"/>
              </w:rPr>
              <w:t>□</w:t>
            </w:r>
            <w:r w:rsidRPr="00977194">
              <w:rPr>
                <w:rFonts w:ascii="標楷體" w:eastAsia="標楷體" w:hAnsi="標楷體" w:hint="eastAsia"/>
                <w:sz w:val="20"/>
              </w:rPr>
              <w:t xml:space="preserve"> </w:t>
            </w:r>
            <w:r w:rsidRPr="00977194">
              <w:rPr>
                <w:rFonts w:ascii="標楷體" w:eastAsia="標楷體" w:hAnsi="標楷體"/>
                <w:sz w:val="20"/>
              </w:rPr>
              <w:t>Staff</w:t>
            </w:r>
            <w:r w:rsidR="00DA14F0" w:rsidRPr="00977194">
              <w:rPr>
                <w:rFonts w:eastAsia="標楷體" w:hAnsi="標楷體" w:hint="eastAsia"/>
                <w:sz w:val="20"/>
              </w:rPr>
              <w:t xml:space="preserve">  </w:t>
            </w:r>
            <w:r w:rsidR="004D5C58" w:rsidRPr="00977194">
              <w:rPr>
                <w:rFonts w:eastAsia="標楷體" w:hAnsi="標楷體" w:hint="eastAsia"/>
                <w:sz w:val="20"/>
              </w:rPr>
              <w:t xml:space="preserve"> </w:t>
            </w:r>
            <w:r w:rsidR="00750CD2" w:rsidRPr="00977194">
              <w:rPr>
                <w:rFonts w:eastAsia="標楷體" w:hAnsi="標楷體" w:hint="eastAsia"/>
                <w:sz w:val="20"/>
              </w:rPr>
              <w:t xml:space="preserve"> </w:t>
            </w:r>
            <w:r w:rsidR="00EB2A46" w:rsidRPr="00977194">
              <w:rPr>
                <w:rFonts w:eastAsia="標楷體" w:hAnsi="標楷體"/>
                <w:sz w:val="20"/>
              </w:rPr>
              <w:t xml:space="preserve">    </w:t>
            </w:r>
            <w:r w:rsidR="00D65BA8" w:rsidRPr="00977194">
              <w:rPr>
                <w:rFonts w:ascii="標楷體" w:eastAsia="標楷體" w:hAnsi="標楷體" w:hint="eastAsia"/>
                <w:sz w:val="20"/>
              </w:rPr>
              <w:t>□</w:t>
            </w:r>
            <w:r w:rsidRPr="00977194">
              <w:rPr>
                <w:rFonts w:ascii="標楷體" w:eastAsia="標楷體" w:hAnsi="標楷體" w:hint="eastAsia"/>
                <w:sz w:val="20"/>
              </w:rPr>
              <w:t xml:space="preserve"> </w:t>
            </w:r>
            <w:r w:rsidRPr="00977194">
              <w:rPr>
                <w:rFonts w:ascii="標楷體" w:eastAsia="標楷體" w:hAnsi="標楷體"/>
                <w:sz w:val="20"/>
              </w:rPr>
              <w:t>Student</w:t>
            </w:r>
            <w:r w:rsidR="00DA14F0" w:rsidRPr="00977194">
              <w:rPr>
                <w:rFonts w:eastAsia="標楷體" w:hAnsi="標楷體" w:hint="eastAsia"/>
                <w:sz w:val="20"/>
              </w:rPr>
              <w:t xml:space="preserve">     </w:t>
            </w:r>
            <w:r w:rsidR="00750CD2" w:rsidRPr="00977194">
              <w:rPr>
                <w:rFonts w:eastAsia="標楷體" w:hAnsi="標楷體" w:hint="eastAsia"/>
                <w:strike/>
                <w:color w:val="FF0000"/>
                <w:sz w:val="20"/>
              </w:rPr>
              <w:t xml:space="preserve"> </w:t>
            </w:r>
          </w:p>
        </w:tc>
      </w:tr>
      <w:tr w:rsidR="000D2350" w:rsidRPr="00DA14F0" w14:paraId="204C2ABB" w14:textId="77777777" w:rsidTr="00DA5956">
        <w:tc>
          <w:tcPr>
            <w:tcW w:w="2400" w:type="dxa"/>
            <w:tcBorders>
              <w:left w:val="double" w:sz="4" w:space="0" w:color="auto"/>
            </w:tcBorders>
            <w:vAlign w:val="center"/>
          </w:tcPr>
          <w:p w14:paraId="060E4199" w14:textId="7BFAB56D" w:rsidR="00100B5B" w:rsidRPr="00DA14F0" w:rsidRDefault="00977194" w:rsidP="00AD64AD">
            <w:pPr>
              <w:spacing w:before="60"/>
              <w:jc w:val="center"/>
              <w:rPr>
                <w:rFonts w:eastAsia="標楷體"/>
                <w:sz w:val="20"/>
              </w:rPr>
            </w:pPr>
            <w:r w:rsidRPr="00977194">
              <w:rPr>
                <w:rFonts w:eastAsia="標楷體" w:hAnsi="標楷體"/>
                <w:sz w:val="20"/>
              </w:rPr>
              <w:t>Unit (Dept./Class)</w:t>
            </w:r>
          </w:p>
        </w:tc>
        <w:tc>
          <w:tcPr>
            <w:tcW w:w="2640" w:type="dxa"/>
            <w:tcBorders>
              <w:right w:val="double" w:sz="4" w:space="0" w:color="auto"/>
            </w:tcBorders>
            <w:vAlign w:val="center"/>
          </w:tcPr>
          <w:p w14:paraId="6BF737C3" w14:textId="77777777" w:rsidR="000D2350" w:rsidRPr="005075EB" w:rsidRDefault="000D2350" w:rsidP="00B25F0E">
            <w:pPr>
              <w:jc w:val="center"/>
              <w:rPr>
                <w:rFonts w:eastAsia="標楷體"/>
                <w:szCs w:val="24"/>
              </w:rPr>
            </w:pPr>
          </w:p>
        </w:tc>
        <w:tc>
          <w:tcPr>
            <w:tcW w:w="1560" w:type="dxa"/>
            <w:tcBorders>
              <w:left w:val="double" w:sz="4" w:space="0" w:color="auto"/>
            </w:tcBorders>
            <w:vAlign w:val="center"/>
          </w:tcPr>
          <w:p w14:paraId="0CDB9AFD" w14:textId="548D786E" w:rsidR="00423F5F" w:rsidRPr="00DA14F0" w:rsidRDefault="00977194" w:rsidP="00AD64AD">
            <w:pPr>
              <w:jc w:val="center"/>
              <w:rPr>
                <w:rFonts w:eastAsia="標楷體"/>
                <w:sz w:val="20"/>
              </w:rPr>
            </w:pPr>
            <w:r w:rsidRPr="00977194">
              <w:rPr>
                <w:rFonts w:eastAsia="標楷體" w:hAnsi="標楷體"/>
                <w:sz w:val="20"/>
              </w:rPr>
              <w:t>Contact Number</w:t>
            </w:r>
          </w:p>
        </w:tc>
        <w:tc>
          <w:tcPr>
            <w:tcW w:w="3840" w:type="dxa"/>
            <w:gridSpan w:val="2"/>
            <w:tcBorders>
              <w:right w:val="double" w:sz="4" w:space="0" w:color="auto"/>
            </w:tcBorders>
            <w:vAlign w:val="center"/>
          </w:tcPr>
          <w:p w14:paraId="5FD5989A" w14:textId="77777777" w:rsidR="000D2350" w:rsidRPr="00DA14F0" w:rsidRDefault="000D2350">
            <w:pPr>
              <w:jc w:val="center"/>
              <w:rPr>
                <w:rFonts w:eastAsia="標楷體"/>
                <w:sz w:val="20"/>
              </w:rPr>
            </w:pPr>
          </w:p>
        </w:tc>
      </w:tr>
      <w:tr w:rsidR="000D2350" w:rsidRPr="00DA14F0" w14:paraId="5F86ADE8" w14:textId="77777777" w:rsidTr="00AD64AD">
        <w:trPr>
          <w:cantSplit/>
          <w:trHeight w:val="195"/>
        </w:trPr>
        <w:tc>
          <w:tcPr>
            <w:tcW w:w="10440" w:type="dxa"/>
            <w:gridSpan w:val="5"/>
            <w:tcBorders>
              <w:left w:val="double" w:sz="4" w:space="0" w:color="auto"/>
              <w:right w:val="double" w:sz="4" w:space="0" w:color="auto"/>
            </w:tcBorders>
          </w:tcPr>
          <w:p w14:paraId="75A1E979" w14:textId="7E2CFF65" w:rsidR="00E7180D" w:rsidRPr="00DA14F0" w:rsidRDefault="00977194" w:rsidP="00AD64AD">
            <w:pPr>
              <w:spacing w:before="120" w:after="120"/>
              <w:rPr>
                <w:rFonts w:eastAsia="標楷體" w:hint="eastAsia"/>
                <w:sz w:val="20"/>
              </w:rPr>
            </w:pPr>
            <w:r w:rsidRPr="00977194">
              <w:rPr>
                <w:rFonts w:eastAsia="標楷體" w:hAnsi="標楷體"/>
                <w:sz w:val="20"/>
              </w:rPr>
              <w:t>Case Type</w:t>
            </w:r>
            <w:r w:rsidR="000D2350" w:rsidRPr="00DA14F0">
              <w:rPr>
                <w:rFonts w:eastAsia="標楷體" w:hAnsi="標楷體"/>
                <w:sz w:val="20"/>
              </w:rPr>
              <w:t>：</w:t>
            </w:r>
            <w:r w:rsidR="00DA14F0">
              <w:rPr>
                <w:rFonts w:eastAsia="標楷體" w:hAnsi="標楷體" w:hint="eastAsia"/>
                <w:sz w:val="20"/>
              </w:rPr>
              <w:t xml:space="preserve">  </w:t>
            </w:r>
            <w:r w:rsidR="00EB2A46">
              <w:rPr>
                <w:rFonts w:eastAsia="標楷體" w:hAnsi="標楷體"/>
                <w:sz w:val="20"/>
              </w:rPr>
              <w:t xml:space="preserve">    </w:t>
            </w:r>
            <w:r w:rsidR="00BB4479">
              <w:rPr>
                <w:rFonts w:ascii="標楷體" w:eastAsia="標楷體" w:hAnsi="標楷體" w:hint="eastAsia"/>
                <w:sz w:val="20"/>
              </w:rPr>
              <w:t>□</w:t>
            </w:r>
            <w:r>
              <w:rPr>
                <w:rFonts w:ascii="標楷體" w:eastAsia="標楷體" w:hAnsi="標楷體" w:hint="eastAsia"/>
                <w:sz w:val="20"/>
              </w:rPr>
              <w:t xml:space="preserve"> </w:t>
            </w:r>
            <w:r w:rsidRPr="00977194">
              <w:rPr>
                <w:rFonts w:eastAsia="標楷體" w:hAnsi="標楷體"/>
                <w:sz w:val="20"/>
              </w:rPr>
              <w:t>Civil</w:t>
            </w:r>
            <w:r w:rsidR="000D2350" w:rsidRPr="00DA14F0">
              <w:rPr>
                <w:rFonts w:eastAsia="標楷體"/>
                <w:sz w:val="20"/>
              </w:rPr>
              <w:t xml:space="preserve">  </w:t>
            </w:r>
            <w:r w:rsidR="00655CC0">
              <w:rPr>
                <w:rFonts w:ascii="標楷體" w:eastAsia="標楷體" w:hAnsi="標楷體" w:hint="eastAsia"/>
                <w:sz w:val="20"/>
                <w:shd w:val="pct15" w:color="auto" w:fill="FFFFFF"/>
              </w:rPr>
              <w:sym w:font="Wingdings 2" w:char="F052"/>
            </w:r>
            <w:r w:rsidRPr="00977194">
              <w:rPr>
                <w:rFonts w:ascii="標楷體" w:eastAsia="標楷體" w:hAnsi="標楷體" w:hint="eastAsia"/>
                <w:sz w:val="20"/>
              </w:rPr>
              <w:t xml:space="preserve"> </w:t>
            </w:r>
            <w:r w:rsidRPr="00977194">
              <w:rPr>
                <w:rFonts w:eastAsia="標楷體" w:hAnsi="標楷體"/>
                <w:sz w:val="20"/>
              </w:rPr>
              <w:t>Criminal</w:t>
            </w:r>
            <w:r w:rsidR="000D2350" w:rsidRPr="00DA14F0">
              <w:rPr>
                <w:rFonts w:eastAsia="標楷體"/>
                <w:sz w:val="20"/>
              </w:rPr>
              <w:t xml:space="preserve">  </w:t>
            </w:r>
            <w:r w:rsidR="00EB2A46">
              <w:rPr>
                <w:rFonts w:eastAsia="標楷體"/>
                <w:sz w:val="20"/>
              </w:rPr>
              <w:t xml:space="preserve">   </w:t>
            </w:r>
            <w:r w:rsidR="002A6861">
              <w:rPr>
                <w:rFonts w:ascii="標楷體" w:eastAsia="標楷體" w:hAnsi="標楷體" w:hint="eastAsia"/>
                <w:sz w:val="20"/>
              </w:rPr>
              <w:t>□</w:t>
            </w:r>
            <w:r>
              <w:rPr>
                <w:rFonts w:ascii="標楷體" w:eastAsia="標楷體" w:hAnsi="標楷體" w:hint="eastAsia"/>
                <w:sz w:val="20"/>
              </w:rPr>
              <w:t xml:space="preserve"> </w:t>
            </w:r>
            <w:r w:rsidRPr="00977194">
              <w:rPr>
                <w:rFonts w:ascii="標楷體" w:eastAsia="標楷體" w:hAnsi="標楷體"/>
                <w:sz w:val="20"/>
              </w:rPr>
              <w:t>Administrative</w:t>
            </w:r>
            <w:r w:rsidR="000D2350" w:rsidRPr="00DA14F0">
              <w:rPr>
                <w:rFonts w:eastAsia="標楷體"/>
                <w:sz w:val="20"/>
              </w:rPr>
              <w:t xml:space="preserve"> </w:t>
            </w:r>
            <w:r w:rsidR="00DA14F0">
              <w:rPr>
                <w:rFonts w:eastAsia="標楷體" w:hint="eastAsia"/>
                <w:sz w:val="20"/>
              </w:rPr>
              <w:t xml:space="preserve">   </w:t>
            </w:r>
            <w:r w:rsidR="00EB2A46">
              <w:rPr>
                <w:rFonts w:eastAsia="標楷體"/>
                <w:sz w:val="20"/>
              </w:rPr>
              <w:t xml:space="preserve">     </w:t>
            </w:r>
            <w:r w:rsidR="00EB2A46">
              <w:rPr>
                <w:rFonts w:ascii="標楷體" w:eastAsia="標楷體" w:hAnsi="標楷體" w:hint="eastAsia"/>
                <w:sz w:val="20"/>
              </w:rPr>
              <w:t>□</w:t>
            </w:r>
            <w:r>
              <w:rPr>
                <w:rFonts w:ascii="標楷體" w:eastAsia="標楷體" w:hAnsi="標楷體" w:hint="eastAsia"/>
                <w:sz w:val="20"/>
              </w:rPr>
              <w:t xml:space="preserve"> </w:t>
            </w:r>
            <w:r w:rsidRPr="00977194">
              <w:rPr>
                <w:rFonts w:ascii="標楷體" w:eastAsia="標楷體" w:hAnsi="標楷體"/>
                <w:sz w:val="20"/>
              </w:rPr>
              <w:t>Comprehensive</w:t>
            </w:r>
          </w:p>
        </w:tc>
      </w:tr>
      <w:tr w:rsidR="00DC764E" w:rsidRPr="00DA14F0" w14:paraId="174966DA" w14:textId="77777777" w:rsidTr="00DA5956">
        <w:trPr>
          <w:cantSplit/>
        </w:trPr>
        <w:tc>
          <w:tcPr>
            <w:tcW w:w="10440" w:type="dxa"/>
            <w:gridSpan w:val="5"/>
            <w:tcBorders>
              <w:left w:val="double" w:sz="4" w:space="0" w:color="auto"/>
              <w:right w:val="double" w:sz="4" w:space="0" w:color="auto"/>
            </w:tcBorders>
          </w:tcPr>
          <w:p w14:paraId="119B8BA8" w14:textId="469F2214" w:rsidR="000C06EA" w:rsidRPr="00AD64AD" w:rsidRDefault="00977194" w:rsidP="003C33DE">
            <w:pPr>
              <w:spacing w:before="120" w:after="120"/>
              <w:rPr>
                <w:rFonts w:eastAsia="標楷體" w:hAnsi="標楷體"/>
                <w:szCs w:val="24"/>
              </w:rPr>
            </w:pPr>
            <w:r w:rsidRPr="00977194">
              <w:rPr>
                <w:rFonts w:eastAsia="標楷體" w:hAnsi="標楷體"/>
                <w:szCs w:val="24"/>
              </w:rPr>
              <w:t>Subject:Theft Complaint</w:t>
            </w:r>
          </w:p>
        </w:tc>
      </w:tr>
      <w:tr w:rsidR="000D2350" w:rsidRPr="00DA14F0" w14:paraId="675EDB47" w14:textId="77777777" w:rsidTr="00DA5956">
        <w:trPr>
          <w:cantSplit/>
          <w:trHeight w:val="1251"/>
        </w:trPr>
        <w:tc>
          <w:tcPr>
            <w:tcW w:w="10440" w:type="dxa"/>
            <w:gridSpan w:val="5"/>
            <w:tcBorders>
              <w:left w:val="double" w:sz="4" w:space="0" w:color="auto"/>
              <w:bottom w:val="double" w:sz="4" w:space="0" w:color="auto"/>
              <w:right w:val="double" w:sz="4" w:space="0" w:color="auto"/>
            </w:tcBorders>
          </w:tcPr>
          <w:p w14:paraId="076E3B02" w14:textId="37823CDC" w:rsidR="00977194" w:rsidRDefault="00977194">
            <w:pPr>
              <w:rPr>
                <w:rFonts w:eastAsia="標楷體" w:hAnsi="標楷體"/>
                <w:szCs w:val="24"/>
              </w:rPr>
            </w:pPr>
            <w:r w:rsidRPr="00977194">
              <w:rPr>
                <w:rFonts w:eastAsia="標楷體" w:hAnsi="標楷體"/>
                <w:szCs w:val="24"/>
              </w:rPr>
              <w:t>Case Summary (To be filled by the inquirer):</w:t>
            </w:r>
          </w:p>
          <w:p w14:paraId="17BDFCDA" w14:textId="77777777" w:rsidR="00977194" w:rsidRDefault="00977194" w:rsidP="00572786">
            <w:pPr>
              <w:rPr>
                <w:rFonts w:eastAsia="標楷體" w:hAnsi="標楷體"/>
                <w:szCs w:val="24"/>
              </w:rPr>
            </w:pPr>
            <w:r w:rsidRPr="00977194">
              <w:rPr>
                <w:rFonts w:eastAsia="標楷體" w:hAnsi="標楷體"/>
                <w:szCs w:val="24"/>
              </w:rPr>
              <w:t>Content:</w:t>
            </w:r>
          </w:p>
          <w:p w14:paraId="4AF1E4DC" w14:textId="61EB3786" w:rsidR="00655CC0" w:rsidRPr="00655CC0" w:rsidRDefault="00977194" w:rsidP="00572786">
            <w:pPr>
              <w:rPr>
                <w:rFonts w:eastAsia="標楷體"/>
                <w:szCs w:val="24"/>
              </w:rPr>
            </w:pPr>
            <w:r w:rsidRPr="00977194">
              <w:rPr>
                <w:rFonts w:eastAsia="標楷體"/>
                <w:szCs w:val="24"/>
              </w:rPr>
              <w:t>The consultant's scooter was stolen by Huang Zhen-Yuan on June 7, 2020, at No. 82, Fuhe Road, Yonghe District, New Taipei City. It was later found at the intersection of Lane 99, Fushou Street, Xinzhuang District, New Taipei City, around 18:10 on the same day.</w:t>
            </w:r>
          </w:p>
          <w:p w14:paraId="186EAD1D" w14:textId="4E9081C3" w:rsidR="00AD64AD" w:rsidRDefault="00977194" w:rsidP="00572786">
            <w:pPr>
              <w:rPr>
                <w:rFonts w:eastAsia="標楷體"/>
                <w:szCs w:val="24"/>
              </w:rPr>
            </w:pPr>
            <w:r w:rsidRPr="00977194">
              <w:rPr>
                <w:rFonts w:eastAsia="標楷體"/>
                <w:szCs w:val="24"/>
              </w:rPr>
              <w:t>The New Taipei District Prosecutors Office granted a non-prosecutorial disposition to the suspect, Huang Zhen-Yuan, on the grounds of "usage theft" (unauthorized use). Dissatisfied with this outcome, the complainant sought legal advice from this Department.</w:t>
            </w:r>
          </w:p>
          <w:p w14:paraId="710CC598" w14:textId="0A35B84A" w:rsidR="00AD64AD" w:rsidRDefault="00AD64AD" w:rsidP="00572786">
            <w:pPr>
              <w:rPr>
                <w:rFonts w:eastAsia="標楷體"/>
                <w:szCs w:val="24"/>
              </w:rPr>
            </w:pPr>
          </w:p>
          <w:p w14:paraId="49EBAAC0" w14:textId="77777777" w:rsidR="00AD64AD" w:rsidRDefault="00AD64AD" w:rsidP="00572786">
            <w:pPr>
              <w:rPr>
                <w:rFonts w:eastAsia="標楷體"/>
                <w:szCs w:val="24"/>
              </w:rPr>
            </w:pPr>
          </w:p>
          <w:p w14:paraId="6F973627" w14:textId="17056404" w:rsidR="00AD64AD" w:rsidRDefault="00AD64AD" w:rsidP="00572786">
            <w:pPr>
              <w:rPr>
                <w:rFonts w:eastAsia="標楷體"/>
                <w:szCs w:val="24"/>
              </w:rPr>
            </w:pPr>
          </w:p>
          <w:p w14:paraId="44DAAC05" w14:textId="140608FF" w:rsidR="00AD64AD" w:rsidRDefault="00AD64AD" w:rsidP="00572786">
            <w:pPr>
              <w:rPr>
                <w:rFonts w:eastAsia="標楷體"/>
                <w:szCs w:val="24"/>
              </w:rPr>
            </w:pPr>
          </w:p>
          <w:p w14:paraId="137DE7DE" w14:textId="0E55E860" w:rsidR="0012221D" w:rsidRDefault="0012221D" w:rsidP="00572786">
            <w:pPr>
              <w:rPr>
                <w:rFonts w:eastAsia="標楷體"/>
                <w:szCs w:val="24"/>
              </w:rPr>
            </w:pPr>
          </w:p>
          <w:p w14:paraId="6034DF14" w14:textId="77777777" w:rsidR="00D84155" w:rsidRPr="00833F00" w:rsidRDefault="00D84155" w:rsidP="00572786">
            <w:pPr>
              <w:rPr>
                <w:rFonts w:eastAsia="標楷體"/>
                <w:szCs w:val="24"/>
              </w:rPr>
            </w:pPr>
          </w:p>
        </w:tc>
      </w:tr>
      <w:tr w:rsidR="00A7333D" w:rsidRPr="00DA14F0" w14:paraId="1121D232" w14:textId="77777777" w:rsidTr="00977194">
        <w:trPr>
          <w:cantSplit/>
          <w:trHeight w:val="1186"/>
        </w:trPr>
        <w:tc>
          <w:tcPr>
            <w:tcW w:w="7470" w:type="dxa"/>
            <w:gridSpan w:val="4"/>
            <w:tcBorders>
              <w:left w:val="double" w:sz="4" w:space="0" w:color="auto"/>
              <w:right w:val="double" w:sz="4" w:space="0" w:color="auto"/>
            </w:tcBorders>
          </w:tcPr>
          <w:p w14:paraId="0582FCE3" w14:textId="7542A779" w:rsidR="00A7333D" w:rsidRPr="00A7333D" w:rsidRDefault="00977194" w:rsidP="00A7333D">
            <w:pPr>
              <w:rPr>
                <w:rFonts w:eastAsia="標楷體" w:hAnsi="標楷體"/>
                <w:szCs w:val="24"/>
              </w:rPr>
            </w:pPr>
            <w:r w:rsidRPr="00977194">
              <w:rPr>
                <w:rFonts w:eastAsia="標楷體" w:hAnsi="標楷體"/>
                <w:szCs w:val="24"/>
              </w:rPr>
              <w:t>Review Opinion of Consultant's Supervisor</w:t>
            </w:r>
            <w:r w:rsidR="00A7333D">
              <w:rPr>
                <w:rFonts w:eastAsia="標楷體" w:hAnsi="標楷體" w:hint="eastAsia"/>
                <w:szCs w:val="24"/>
              </w:rPr>
              <w:t>：</w:t>
            </w:r>
            <w:r w:rsidRPr="00977194">
              <w:rPr>
                <w:rFonts w:eastAsia="標楷體" w:hAnsi="標楷體"/>
                <w:szCs w:val="24"/>
              </w:rPr>
              <w:t>(Optional for personal matters)</w:t>
            </w:r>
            <w:r w:rsidRPr="00977194">
              <w:rPr>
                <w:rFonts w:eastAsia="標楷體" w:hAnsi="標楷體"/>
                <w:szCs w:val="24"/>
              </w:rPr>
              <w:t xml:space="preserve"> </w:t>
            </w:r>
          </w:p>
          <w:p w14:paraId="2F9B9AA3" w14:textId="0D0536B6" w:rsidR="00A7333D" w:rsidRDefault="00A7333D">
            <w:pPr>
              <w:rPr>
                <w:rFonts w:eastAsia="標楷體" w:hAnsi="標楷體"/>
                <w:szCs w:val="24"/>
              </w:rPr>
            </w:pPr>
          </w:p>
        </w:tc>
        <w:tc>
          <w:tcPr>
            <w:tcW w:w="2970" w:type="dxa"/>
            <w:tcBorders>
              <w:left w:val="double" w:sz="4" w:space="0" w:color="auto"/>
              <w:right w:val="double" w:sz="4" w:space="0" w:color="auto"/>
            </w:tcBorders>
          </w:tcPr>
          <w:p w14:paraId="7F378CCF" w14:textId="7AC5BADB" w:rsidR="00A7333D" w:rsidRDefault="00977194" w:rsidP="00914B03">
            <w:pPr>
              <w:rPr>
                <w:rFonts w:eastAsia="標楷體" w:hAnsi="標楷體"/>
                <w:szCs w:val="24"/>
              </w:rPr>
            </w:pPr>
            <w:r w:rsidRPr="00977194">
              <w:rPr>
                <w:rFonts w:eastAsia="標楷體" w:hAnsi="標楷體"/>
                <w:szCs w:val="24"/>
              </w:rPr>
              <w:t>Supervisor's Signature</w:t>
            </w:r>
            <w:r w:rsidR="00A7333D">
              <w:rPr>
                <w:rFonts w:eastAsia="標楷體" w:hAnsi="標楷體" w:hint="eastAsia"/>
                <w:szCs w:val="24"/>
              </w:rPr>
              <w:t>：</w:t>
            </w:r>
          </w:p>
        </w:tc>
      </w:tr>
      <w:tr w:rsidR="00B1627B" w:rsidRPr="00DA14F0" w14:paraId="09EDC048" w14:textId="77777777" w:rsidTr="00DA5956">
        <w:trPr>
          <w:cantSplit/>
        </w:trPr>
        <w:tc>
          <w:tcPr>
            <w:tcW w:w="10440" w:type="dxa"/>
            <w:gridSpan w:val="5"/>
            <w:tcBorders>
              <w:top w:val="double" w:sz="4" w:space="0" w:color="auto"/>
              <w:left w:val="double" w:sz="4" w:space="0" w:color="auto"/>
              <w:bottom w:val="double" w:sz="4" w:space="0" w:color="auto"/>
              <w:right w:val="double" w:sz="4" w:space="0" w:color="auto"/>
            </w:tcBorders>
          </w:tcPr>
          <w:p w14:paraId="3D0F2AE7" w14:textId="1C7A3F0F" w:rsidR="00B1627B" w:rsidRPr="006A5824" w:rsidRDefault="00977194" w:rsidP="00461452">
            <w:pPr>
              <w:rPr>
                <w:rFonts w:eastAsia="標楷體"/>
                <w:b/>
                <w:sz w:val="20"/>
              </w:rPr>
            </w:pPr>
            <w:r w:rsidRPr="00977194">
              <w:rPr>
                <w:rFonts w:eastAsia="標楷體"/>
                <w:b/>
                <w:szCs w:val="24"/>
              </w:rPr>
              <w:t>To be filled by the Department</w:t>
            </w:r>
            <w:r w:rsidR="006A5824" w:rsidRPr="006A5824">
              <w:rPr>
                <w:rFonts w:eastAsia="標楷體" w:hint="eastAsia"/>
                <w:b/>
                <w:szCs w:val="24"/>
              </w:rPr>
              <w:t xml:space="preserve"> </w:t>
            </w:r>
          </w:p>
        </w:tc>
      </w:tr>
      <w:tr w:rsidR="000B2CF1" w:rsidRPr="00DA14F0" w14:paraId="1EAEC631" w14:textId="77777777" w:rsidTr="00DA5956">
        <w:trPr>
          <w:cantSplit/>
        </w:trPr>
        <w:tc>
          <w:tcPr>
            <w:tcW w:w="10440" w:type="dxa"/>
            <w:gridSpan w:val="5"/>
            <w:tcBorders>
              <w:top w:val="double" w:sz="4" w:space="0" w:color="auto"/>
              <w:left w:val="double" w:sz="4" w:space="0" w:color="auto"/>
              <w:right w:val="double" w:sz="4" w:space="0" w:color="auto"/>
            </w:tcBorders>
          </w:tcPr>
          <w:p w14:paraId="00F62DE7" w14:textId="3405623D" w:rsidR="00E7180D" w:rsidRPr="00C83F1A" w:rsidRDefault="00703A9B">
            <w:pPr>
              <w:rPr>
                <w:rFonts w:eastAsia="標楷體"/>
                <w:sz w:val="20"/>
              </w:rPr>
            </w:pPr>
            <w:r w:rsidRPr="00703A9B">
              <w:rPr>
                <w:rFonts w:eastAsia="標楷體"/>
                <w:sz w:val="20"/>
              </w:rPr>
              <w:t>Preliminary Review</w:t>
            </w:r>
            <w:r w:rsidR="00C83F1A">
              <w:rPr>
                <w:rFonts w:eastAsia="標楷體" w:hint="eastAsia"/>
                <w:sz w:val="20"/>
              </w:rPr>
              <w:t xml:space="preserve"> </w:t>
            </w:r>
          </w:p>
          <w:p w14:paraId="7F4B9CAE" w14:textId="48C2580E" w:rsidR="00E11DD2" w:rsidRDefault="00655CC0">
            <w:pPr>
              <w:rPr>
                <w:rFonts w:eastAsia="標楷體"/>
                <w:sz w:val="20"/>
              </w:rPr>
            </w:pPr>
            <w:r>
              <w:rPr>
                <w:rFonts w:ascii="標楷體" w:eastAsia="標楷體" w:hAnsi="標楷體" w:hint="eastAsia"/>
                <w:sz w:val="20"/>
              </w:rPr>
              <w:sym w:font="Wingdings 2" w:char="F052"/>
            </w:r>
            <w:r w:rsidR="00703A9B">
              <w:rPr>
                <w:rFonts w:ascii="標楷體" w:eastAsia="標楷體" w:hAnsi="標楷體" w:hint="eastAsia"/>
                <w:sz w:val="20"/>
              </w:rPr>
              <w:t xml:space="preserve"> </w:t>
            </w:r>
            <w:r w:rsidR="00703A9B" w:rsidRPr="00703A9B">
              <w:rPr>
                <w:rFonts w:ascii="標楷體" w:eastAsia="標楷體" w:hAnsi="標楷體"/>
                <w:sz w:val="20"/>
              </w:rPr>
              <w:t>Personal Rights Related Event</w:t>
            </w:r>
            <w:r w:rsidR="00C83F1A">
              <w:rPr>
                <w:rFonts w:eastAsia="標楷體" w:hint="eastAsia"/>
                <w:sz w:val="20"/>
              </w:rPr>
              <w:t xml:space="preserve"> </w:t>
            </w:r>
          </w:p>
          <w:p w14:paraId="12C6AE09" w14:textId="331A781C" w:rsidR="00C83F1A" w:rsidRPr="00C83F1A" w:rsidRDefault="00655CC0" w:rsidP="00E11DD2">
            <w:pPr>
              <w:ind w:firstLineChars="100" w:firstLine="200"/>
              <w:rPr>
                <w:rFonts w:eastAsia="標楷體" w:hint="eastAsia"/>
                <w:sz w:val="20"/>
              </w:rPr>
            </w:pPr>
            <w:r>
              <w:rPr>
                <w:rFonts w:ascii="標楷體" w:eastAsia="標楷體" w:hAnsi="標楷體" w:hint="eastAsia"/>
                <w:sz w:val="20"/>
                <w:shd w:val="pct15" w:color="auto" w:fill="FFFFFF"/>
              </w:rPr>
              <w:sym w:font="Wingdings 2" w:char="F052"/>
            </w:r>
            <w:r w:rsidR="00703A9B" w:rsidRPr="00703A9B">
              <w:rPr>
                <w:rFonts w:ascii="標楷體" w:eastAsia="標楷體" w:hAnsi="標楷體" w:hint="eastAsia"/>
                <w:sz w:val="20"/>
              </w:rPr>
              <w:t xml:space="preserve"> </w:t>
            </w:r>
            <w:r w:rsidR="00703A9B" w:rsidRPr="00703A9B">
              <w:rPr>
                <w:rFonts w:ascii="標楷體" w:eastAsia="標楷體" w:hAnsi="標楷體"/>
                <w:sz w:val="20"/>
              </w:rPr>
              <w:t>Initial Consultation</w:t>
            </w:r>
            <w:r w:rsidR="00BC3A69" w:rsidRPr="00703A9B">
              <w:rPr>
                <w:rFonts w:eastAsia="標楷體" w:hint="eastAsia"/>
                <w:sz w:val="20"/>
              </w:rPr>
              <w:t xml:space="preserve"> </w:t>
            </w:r>
            <w:r w:rsidR="00BC3A69">
              <w:rPr>
                <w:rFonts w:eastAsia="標楷體" w:hint="eastAsia"/>
                <w:sz w:val="20"/>
              </w:rPr>
              <w:t xml:space="preserve">   </w:t>
            </w:r>
            <w:r w:rsidR="00D65BA8">
              <w:rPr>
                <w:rFonts w:ascii="標楷體" w:eastAsia="標楷體" w:hAnsi="標楷體" w:hint="eastAsia"/>
                <w:sz w:val="20"/>
              </w:rPr>
              <w:t>□</w:t>
            </w:r>
            <w:r w:rsidR="00703A9B">
              <w:rPr>
                <w:rFonts w:ascii="標楷體" w:eastAsia="標楷體" w:hAnsi="標楷體" w:hint="eastAsia"/>
                <w:sz w:val="20"/>
              </w:rPr>
              <w:t xml:space="preserve"> </w:t>
            </w:r>
            <w:r w:rsidR="00703A9B" w:rsidRPr="00703A9B">
              <w:rPr>
                <w:rFonts w:ascii="標楷體" w:eastAsia="標楷體" w:hAnsi="標楷體"/>
                <w:sz w:val="20"/>
              </w:rPr>
              <w:t>Follow-up Consultation for Unclosed Case</w:t>
            </w:r>
          </w:p>
          <w:p w14:paraId="6B0F40CB" w14:textId="5FE7555A" w:rsidR="00E11DD2" w:rsidRDefault="00BB4479" w:rsidP="006A5824">
            <w:pPr>
              <w:spacing w:before="60"/>
              <w:rPr>
                <w:rFonts w:eastAsia="標楷體"/>
                <w:sz w:val="20"/>
              </w:rPr>
            </w:pPr>
            <w:r>
              <w:rPr>
                <w:rFonts w:ascii="標楷體" w:eastAsia="標楷體" w:hAnsi="標楷體" w:hint="eastAsia"/>
                <w:sz w:val="20"/>
              </w:rPr>
              <w:t>□</w:t>
            </w:r>
            <w:r w:rsidR="00703A9B">
              <w:rPr>
                <w:rFonts w:ascii="標楷體" w:eastAsia="標楷體" w:hAnsi="標楷體" w:hint="eastAsia"/>
                <w:sz w:val="20"/>
              </w:rPr>
              <w:t xml:space="preserve"> </w:t>
            </w:r>
            <w:r w:rsidR="00703A9B" w:rsidRPr="00703A9B">
              <w:rPr>
                <w:rFonts w:ascii="標楷體" w:eastAsia="標楷體" w:hAnsi="標楷體"/>
                <w:sz w:val="20"/>
              </w:rPr>
              <w:t>University Affairs Related Event</w:t>
            </w:r>
            <w:r w:rsidR="009E7319" w:rsidRPr="00C83F1A">
              <w:rPr>
                <w:rFonts w:eastAsia="標楷體"/>
                <w:sz w:val="20"/>
              </w:rPr>
              <w:t xml:space="preserve"> </w:t>
            </w:r>
          </w:p>
          <w:p w14:paraId="7B4B9C0E" w14:textId="2F8ED0EE" w:rsidR="00EB2A46" w:rsidRPr="00AD64AD" w:rsidRDefault="00BB4479" w:rsidP="00AD64AD">
            <w:pPr>
              <w:ind w:leftChars="126" w:left="7102" w:hangingChars="3400" w:hanging="6800"/>
              <w:rPr>
                <w:rFonts w:eastAsia="標楷體"/>
                <w:sz w:val="20"/>
              </w:rPr>
            </w:pPr>
            <w:r>
              <w:rPr>
                <w:rFonts w:ascii="標楷體" w:eastAsia="標楷體" w:hAnsi="標楷體" w:hint="eastAsia"/>
                <w:sz w:val="20"/>
              </w:rPr>
              <w:t>□</w:t>
            </w:r>
            <w:r w:rsidR="00703A9B">
              <w:rPr>
                <w:rFonts w:ascii="標楷體" w:eastAsia="標楷體" w:hAnsi="標楷體" w:hint="eastAsia"/>
                <w:sz w:val="20"/>
              </w:rPr>
              <w:t xml:space="preserve"> </w:t>
            </w:r>
            <w:r w:rsidR="00703A9B" w:rsidRPr="00703A9B">
              <w:rPr>
                <w:rFonts w:ascii="標楷體" w:eastAsia="標楷體" w:hAnsi="標楷體"/>
                <w:sz w:val="20"/>
              </w:rPr>
              <w:t>Initial Consultation</w:t>
            </w:r>
            <w:r w:rsidR="00BC3A69">
              <w:rPr>
                <w:rFonts w:eastAsia="標楷體" w:hint="eastAsia"/>
                <w:sz w:val="20"/>
              </w:rPr>
              <w:t xml:space="preserve">    </w:t>
            </w:r>
            <w:r w:rsidR="009C608B">
              <w:rPr>
                <w:rFonts w:ascii="標楷體" w:eastAsia="標楷體" w:hAnsi="標楷體" w:hint="eastAsia"/>
                <w:sz w:val="20"/>
              </w:rPr>
              <w:t>□</w:t>
            </w:r>
            <w:r w:rsidR="00703A9B">
              <w:rPr>
                <w:rFonts w:ascii="標楷體" w:eastAsia="標楷體" w:hAnsi="標楷體" w:hint="eastAsia"/>
                <w:sz w:val="20"/>
              </w:rPr>
              <w:t xml:space="preserve"> </w:t>
            </w:r>
            <w:r w:rsidR="00703A9B" w:rsidRPr="00703A9B">
              <w:rPr>
                <w:rFonts w:eastAsia="標楷體"/>
                <w:sz w:val="20"/>
              </w:rPr>
              <w:t>Follow-up Consultation for Unclosed Case</w:t>
            </w:r>
          </w:p>
        </w:tc>
      </w:tr>
      <w:tr w:rsidR="000B2CF1" w:rsidRPr="00DA14F0" w14:paraId="2391125F" w14:textId="77777777" w:rsidTr="00DA5956">
        <w:trPr>
          <w:cantSplit/>
        </w:trPr>
        <w:tc>
          <w:tcPr>
            <w:tcW w:w="10440" w:type="dxa"/>
            <w:gridSpan w:val="5"/>
            <w:tcBorders>
              <w:left w:val="double" w:sz="4" w:space="0" w:color="auto"/>
              <w:right w:val="double" w:sz="4" w:space="0" w:color="auto"/>
            </w:tcBorders>
          </w:tcPr>
          <w:p w14:paraId="443AEC89" w14:textId="09AF0BA0" w:rsidR="000B2CF1" w:rsidRPr="00DA14F0" w:rsidRDefault="00703A9B" w:rsidP="00BB4479">
            <w:pPr>
              <w:rPr>
                <w:rFonts w:eastAsia="標楷體"/>
                <w:szCs w:val="24"/>
              </w:rPr>
            </w:pPr>
            <w:r w:rsidRPr="00703A9B">
              <w:rPr>
                <w:rFonts w:eastAsia="標楷體" w:hAnsi="標楷體"/>
                <w:szCs w:val="24"/>
              </w:rPr>
              <w:t>Preliminary Reviewer Signature</w:t>
            </w:r>
            <w:r w:rsidR="000B2CF1" w:rsidRPr="004B04D7">
              <w:rPr>
                <w:rFonts w:eastAsia="標楷體" w:hAnsi="標楷體"/>
                <w:szCs w:val="24"/>
              </w:rPr>
              <w:t>：</w:t>
            </w:r>
            <w:r w:rsidR="00E24198" w:rsidRPr="004B04D7">
              <w:rPr>
                <w:rFonts w:eastAsia="標楷體"/>
                <w:szCs w:val="24"/>
              </w:rPr>
              <w:t xml:space="preserve"> </w:t>
            </w:r>
            <w:r w:rsidR="00F46168">
              <w:rPr>
                <w:rFonts w:eastAsia="標楷體" w:hint="eastAsia"/>
                <w:szCs w:val="24"/>
              </w:rPr>
              <w:t xml:space="preserve"> </w:t>
            </w:r>
            <w:r w:rsidR="00B36BB4">
              <w:rPr>
                <w:rFonts w:eastAsia="標楷體"/>
                <w:szCs w:val="24"/>
              </w:rPr>
              <w:t xml:space="preserve"> </w:t>
            </w:r>
            <w:r w:rsidR="006F5B16">
              <w:rPr>
                <w:rFonts w:eastAsia="標楷體" w:hint="eastAsia"/>
                <w:szCs w:val="24"/>
              </w:rPr>
              <w:t xml:space="preserve">  </w:t>
            </w:r>
          </w:p>
        </w:tc>
      </w:tr>
      <w:tr w:rsidR="000D2350" w:rsidRPr="00DA14F0" w14:paraId="48F6DD35" w14:textId="77777777" w:rsidTr="00DA5956">
        <w:trPr>
          <w:cantSplit/>
        </w:trPr>
        <w:tc>
          <w:tcPr>
            <w:tcW w:w="10440" w:type="dxa"/>
            <w:gridSpan w:val="5"/>
            <w:tcBorders>
              <w:left w:val="double" w:sz="4" w:space="0" w:color="auto"/>
              <w:right w:val="double" w:sz="4" w:space="0" w:color="auto"/>
            </w:tcBorders>
          </w:tcPr>
          <w:p w14:paraId="0F7A8EBF" w14:textId="16923F65" w:rsidR="000D2350" w:rsidRDefault="00703A9B">
            <w:pPr>
              <w:rPr>
                <w:rFonts w:eastAsia="標楷體"/>
                <w:szCs w:val="24"/>
              </w:rPr>
            </w:pPr>
            <w:r w:rsidRPr="00703A9B">
              <w:rPr>
                <w:rFonts w:eastAsia="標楷體" w:hAnsi="標楷體"/>
                <w:szCs w:val="24"/>
              </w:rPr>
              <w:t>Legal Opinion</w:t>
            </w:r>
            <w:r w:rsidR="00970B88" w:rsidRPr="004B04D7">
              <w:rPr>
                <w:rFonts w:eastAsia="標楷體"/>
                <w:szCs w:val="24"/>
              </w:rPr>
              <w:t xml:space="preserve"> </w:t>
            </w:r>
            <w:r w:rsidR="00970B88" w:rsidRPr="004B04D7">
              <w:rPr>
                <w:rFonts w:eastAsia="標楷體" w:hint="eastAsia"/>
                <w:szCs w:val="24"/>
              </w:rPr>
              <w:t xml:space="preserve"> </w:t>
            </w:r>
          </w:p>
          <w:p w14:paraId="6BC2ECC2" w14:textId="77777777" w:rsidR="008A680A" w:rsidRDefault="008A680A">
            <w:pPr>
              <w:rPr>
                <w:rFonts w:eastAsia="標楷體"/>
                <w:szCs w:val="24"/>
              </w:rPr>
            </w:pPr>
          </w:p>
          <w:p w14:paraId="3001B13C" w14:textId="2C127F48" w:rsidR="00C60527" w:rsidRDefault="005A3A1D">
            <w:pPr>
              <w:rPr>
                <w:rFonts w:eastAsia="標楷體"/>
                <w:szCs w:val="24"/>
              </w:rPr>
            </w:pPr>
            <w:r>
              <w:rPr>
                <w:rFonts w:eastAsia="標楷體" w:hint="eastAsia"/>
                <w:szCs w:val="24"/>
              </w:rPr>
              <w:t xml:space="preserve"> </w:t>
            </w:r>
          </w:p>
          <w:p w14:paraId="4BF90DDB" w14:textId="77777777" w:rsidR="00572786" w:rsidRDefault="00572786">
            <w:pPr>
              <w:rPr>
                <w:rFonts w:eastAsia="標楷體"/>
                <w:szCs w:val="24"/>
              </w:rPr>
            </w:pPr>
          </w:p>
          <w:p w14:paraId="2C957A34" w14:textId="77777777" w:rsidR="00572786" w:rsidRDefault="00572786">
            <w:pPr>
              <w:rPr>
                <w:rFonts w:eastAsia="標楷體"/>
                <w:szCs w:val="24"/>
              </w:rPr>
            </w:pPr>
          </w:p>
          <w:p w14:paraId="7D7DE917" w14:textId="77777777" w:rsidR="00BB4479" w:rsidRDefault="00BB4479">
            <w:pPr>
              <w:rPr>
                <w:rFonts w:eastAsia="標楷體"/>
                <w:szCs w:val="24"/>
              </w:rPr>
            </w:pPr>
          </w:p>
          <w:p w14:paraId="62640D24" w14:textId="77777777" w:rsidR="00BB4479" w:rsidRDefault="00BB4479">
            <w:pPr>
              <w:rPr>
                <w:rFonts w:eastAsia="標楷體"/>
                <w:szCs w:val="24"/>
              </w:rPr>
            </w:pPr>
          </w:p>
          <w:p w14:paraId="33590C99" w14:textId="3074AE42" w:rsidR="00C60527" w:rsidRDefault="00C60527">
            <w:pPr>
              <w:rPr>
                <w:rFonts w:eastAsia="標楷體"/>
                <w:szCs w:val="24"/>
              </w:rPr>
            </w:pPr>
          </w:p>
          <w:p w14:paraId="074DF59E" w14:textId="54D4677E" w:rsidR="00AD64AD" w:rsidRDefault="00AD64AD">
            <w:pPr>
              <w:rPr>
                <w:rFonts w:eastAsia="標楷體"/>
                <w:szCs w:val="24"/>
              </w:rPr>
            </w:pPr>
          </w:p>
          <w:p w14:paraId="73933658" w14:textId="7198CB8C" w:rsidR="00AD64AD" w:rsidRDefault="00AD64AD">
            <w:pPr>
              <w:rPr>
                <w:rFonts w:eastAsia="標楷體"/>
                <w:szCs w:val="24"/>
              </w:rPr>
            </w:pPr>
          </w:p>
          <w:p w14:paraId="0DC5A430" w14:textId="72386F52" w:rsidR="00AD64AD" w:rsidRDefault="00AD64AD">
            <w:pPr>
              <w:rPr>
                <w:rFonts w:eastAsia="標楷體"/>
                <w:szCs w:val="24"/>
              </w:rPr>
            </w:pPr>
          </w:p>
          <w:p w14:paraId="7A138B3B" w14:textId="5AD14CBE" w:rsidR="00AD64AD" w:rsidRDefault="00AD64AD">
            <w:pPr>
              <w:rPr>
                <w:rFonts w:eastAsia="標楷體"/>
                <w:szCs w:val="24"/>
              </w:rPr>
            </w:pPr>
          </w:p>
          <w:p w14:paraId="247935A1" w14:textId="7AE4113D" w:rsidR="00AD64AD" w:rsidRDefault="00AD64AD">
            <w:pPr>
              <w:rPr>
                <w:rFonts w:eastAsia="標楷體"/>
                <w:szCs w:val="24"/>
              </w:rPr>
            </w:pPr>
          </w:p>
          <w:p w14:paraId="080AAD31" w14:textId="1CA2D405" w:rsidR="00AD64AD" w:rsidRDefault="00AD64AD">
            <w:pPr>
              <w:rPr>
                <w:rFonts w:eastAsia="標楷體" w:hint="eastAsia"/>
                <w:szCs w:val="24"/>
              </w:rPr>
            </w:pPr>
          </w:p>
          <w:p w14:paraId="2DAC8588" w14:textId="77777777" w:rsidR="00AD64AD" w:rsidRDefault="00AD64AD">
            <w:pPr>
              <w:rPr>
                <w:rFonts w:eastAsia="標楷體"/>
                <w:szCs w:val="24"/>
              </w:rPr>
            </w:pPr>
          </w:p>
          <w:p w14:paraId="7A452059" w14:textId="77777777" w:rsidR="00821799" w:rsidRPr="00DA14F0" w:rsidRDefault="00821799">
            <w:pPr>
              <w:rPr>
                <w:rFonts w:eastAsia="標楷體"/>
                <w:szCs w:val="24"/>
              </w:rPr>
            </w:pPr>
          </w:p>
        </w:tc>
      </w:tr>
      <w:tr w:rsidR="000D2350" w:rsidRPr="00DA14F0" w14:paraId="660A99A1" w14:textId="77777777" w:rsidTr="00DA5956">
        <w:trPr>
          <w:cantSplit/>
        </w:trPr>
        <w:tc>
          <w:tcPr>
            <w:tcW w:w="10440" w:type="dxa"/>
            <w:gridSpan w:val="5"/>
            <w:tcBorders>
              <w:left w:val="double" w:sz="4" w:space="0" w:color="auto"/>
              <w:bottom w:val="double" w:sz="4" w:space="0" w:color="auto"/>
              <w:right w:val="double" w:sz="4" w:space="0" w:color="auto"/>
            </w:tcBorders>
          </w:tcPr>
          <w:p w14:paraId="4191233B" w14:textId="5F456D26" w:rsidR="0012221D" w:rsidRDefault="00703A9B" w:rsidP="0012221D">
            <w:pPr>
              <w:rPr>
                <w:rFonts w:eastAsia="標楷體" w:hAnsi="標楷體"/>
                <w:szCs w:val="24"/>
              </w:rPr>
            </w:pPr>
            <w:r w:rsidRPr="00703A9B">
              <w:rPr>
                <w:rFonts w:eastAsia="標楷體" w:hAnsi="標楷體"/>
                <w:szCs w:val="24"/>
              </w:rPr>
              <w:t>Director's Signature</w:t>
            </w:r>
            <w:r w:rsidR="00AC21F6" w:rsidRPr="004B04D7">
              <w:rPr>
                <w:rFonts w:eastAsia="標楷體" w:hAnsi="標楷體" w:hint="eastAsia"/>
                <w:szCs w:val="24"/>
              </w:rPr>
              <w:t>：</w:t>
            </w:r>
            <w:r w:rsidR="00591722">
              <w:rPr>
                <w:rFonts w:eastAsia="標楷體" w:hAnsi="標楷體" w:hint="eastAsia"/>
                <w:szCs w:val="24"/>
              </w:rPr>
              <w:t xml:space="preserve"> </w:t>
            </w:r>
            <w:r w:rsidR="008D08DB">
              <w:rPr>
                <w:rFonts w:eastAsia="標楷體" w:hAnsi="標楷體" w:hint="eastAsia"/>
                <w:szCs w:val="24"/>
              </w:rPr>
              <w:t xml:space="preserve"> </w:t>
            </w:r>
            <w:r w:rsidR="00077FA9">
              <w:rPr>
                <w:rFonts w:eastAsia="標楷體" w:hAnsi="標楷體" w:hint="eastAsia"/>
                <w:szCs w:val="24"/>
              </w:rPr>
              <w:t xml:space="preserve"> </w:t>
            </w:r>
            <w:r w:rsidR="00E569C4">
              <w:rPr>
                <w:rFonts w:eastAsia="標楷體" w:hAnsi="標楷體"/>
                <w:szCs w:val="24"/>
              </w:rPr>
              <w:t xml:space="preserve">  </w:t>
            </w:r>
          </w:p>
          <w:p w14:paraId="78015443" w14:textId="5CA9BAC8" w:rsidR="000D2350" w:rsidRPr="00DA14F0" w:rsidRDefault="000D2350" w:rsidP="0012221D">
            <w:pPr>
              <w:rPr>
                <w:rFonts w:eastAsia="標楷體"/>
                <w:szCs w:val="24"/>
              </w:rPr>
            </w:pPr>
          </w:p>
        </w:tc>
      </w:tr>
    </w:tbl>
    <w:p w14:paraId="6AB46436" w14:textId="2E1506E3" w:rsidR="000D2350" w:rsidRDefault="00B902C6">
      <w:pPr>
        <w:rPr>
          <w:rFonts w:eastAsia="標楷體"/>
          <w:szCs w:val="24"/>
          <w:lang w:eastAsia="zh-HK"/>
        </w:rPr>
      </w:pPr>
      <w:r w:rsidRPr="00B902C6">
        <w:rPr>
          <w:rFonts w:eastAsia="標楷體"/>
          <w:szCs w:val="24"/>
          <w:lang w:eastAsia="zh-HK"/>
        </w:rPr>
        <w:lastRenderedPageBreak/>
        <w:t>Note: After filling out this form, please email it directly to the Legal Affairs Department</w:t>
      </w:r>
      <w:r w:rsidRPr="00B902C6">
        <w:rPr>
          <w:rFonts w:eastAsia="標楷體" w:hint="eastAsia"/>
          <w:szCs w:val="24"/>
          <w:lang w:eastAsia="zh-HK"/>
        </w:rPr>
        <w:t xml:space="preserve"> </w:t>
      </w:r>
      <w:r w:rsidR="00AD64AD">
        <w:rPr>
          <w:rFonts w:eastAsia="標楷體" w:hint="eastAsia"/>
          <w:szCs w:val="24"/>
          <w:lang w:eastAsia="zh-HK"/>
        </w:rPr>
        <w:t>(</w:t>
      </w:r>
      <w:hyperlink r:id="rId8" w:history="1">
        <w:r w:rsidR="000E0C44" w:rsidRPr="00FF74E6">
          <w:rPr>
            <w:rStyle w:val="a7"/>
            <w:rFonts w:eastAsia="標楷體"/>
            <w:szCs w:val="24"/>
            <w:lang w:eastAsia="zh-HK"/>
          </w:rPr>
          <w:t>simonlam@mail.mcu.edu.tw</w:t>
        </w:r>
      </w:hyperlink>
      <w:r w:rsidR="00AD64AD">
        <w:rPr>
          <w:rFonts w:eastAsia="標楷體"/>
          <w:szCs w:val="24"/>
          <w:lang w:eastAsia="zh-HK"/>
        </w:rPr>
        <w:t>)</w:t>
      </w:r>
      <w:r w:rsidR="009C737A">
        <w:rPr>
          <w:rFonts w:eastAsia="標楷體" w:hint="eastAsia"/>
          <w:szCs w:val="24"/>
          <w:lang w:eastAsia="zh-HK"/>
        </w:rPr>
        <w:t>。</w:t>
      </w:r>
    </w:p>
    <w:p w14:paraId="1D035C7A" w14:textId="588359A3" w:rsidR="000E0C44" w:rsidRPr="00E56236" w:rsidRDefault="00B902C6" w:rsidP="000E0C44">
      <w:pPr>
        <w:jc w:val="center"/>
        <w:rPr>
          <w:rFonts w:eastAsia="標楷體"/>
          <w:sz w:val="32"/>
          <w:szCs w:val="32"/>
          <w:lang w:eastAsia="zh-HK"/>
        </w:rPr>
      </w:pPr>
      <w:r w:rsidRPr="00B902C6">
        <w:rPr>
          <w:rFonts w:eastAsia="標楷體"/>
          <w:sz w:val="32"/>
          <w:szCs w:val="32"/>
          <w:lang w:eastAsia="zh-HK"/>
        </w:rPr>
        <w:t>Consultation Regulations</w:t>
      </w:r>
    </w:p>
    <w:p w14:paraId="631DF6A5" w14:textId="77777777" w:rsidR="00B902C6" w:rsidRDefault="00B902C6" w:rsidP="00B902C6">
      <w:pPr>
        <w:snapToGrid w:val="0"/>
        <w:rPr>
          <w:rFonts w:ascii="標楷體" w:eastAsia="標楷體" w:hAnsi="標楷體" w:cs="新細明體"/>
          <w:color w:val="000000"/>
          <w:kern w:val="0"/>
          <w:szCs w:val="24"/>
        </w:rPr>
      </w:pPr>
      <w:r>
        <w:rPr>
          <w:rFonts w:ascii="標楷體" w:eastAsia="標楷體" w:hAnsi="標楷體" w:cs="新細明體" w:hint="eastAsia"/>
          <w:b/>
          <w:bCs/>
          <w:color w:val="000000"/>
          <w:kern w:val="0"/>
          <w:szCs w:val="24"/>
        </w:rPr>
        <w:t>Article 1</w:t>
      </w:r>
      <w:r w:rsidRPr="00B902C6">
        <w:rPr>
          <w:rFonts w:ascii="標楷體" w:eastAsia="標楷體" w:hAnsi="標楷體" w:cs="新細明體"/>
          <w:b/>
          <w:bCs/>
          <w:color w:val="000000"/>
          <w:kern w:val="0"/>
          <w:szCs w:val="24"/>
        </w:rPr>
        <w:t>(Purpose)</w:t>
      </w:r>
      <w:r w:rsidRPr="00B902C6">
        <w:rPr>
          <w:rFonts w:ascii="標楷體" w:eastAsia="標楷體" w:hAnsi="標楷體" w:cs="新細明體"/>
          <w:color w:val="000000"/>
          <w:kern w:val="0"/>
          <w:szCs w:val="24"/>
        </w:rPr>
        <w:t xml:space="preserve"> </w:t>
      </w:r>
    </w:p>
    <w:p w14:paraId="60186DF0" w14:textId="13F618B1"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To provide legal advice to faculty and students for official duties or personal life, the Legal Affairs Department (hereinafter referred to as "the Department") is established. It is composed of faculty members with legal expertise to provide countersignatures and consultations on official university legal matters or answers to specific legal questions for faculty, staff, and students. </w:t>
      </w:r>
    </w:p>
    <w:p w14:paraId="2399C255" w14:textId="77777777" w:rsidR="00B902C6" w:rsidRDefault="00B902C6" w:rsidP="00B902C6">
      <w:pPr>
        <w:snapToGrid w:val="0"/>
        <w:rPr>
          <w:rFonts w:ascii="標楷體" w:eastAsia="標楷體" w:hAnsi="標楷體" w:cs="新細明體"/>
          <w:color w:val="000000"/>
          <w:kern w:val="0"/>
          <w:szCs w:val="24"/>
        </w:rPr>
      </w:pPr>
      <w:r>
        <w:rPr>
          <w:rFonts w:ascii="標楷體" w:eastAsia="標楷體" w:hAnsi="標楷體" w:cs="新細明體" w:hint="eastAsia"/>
          <w:b/>
          <w:bCs/>
          <w:color w:val="000000"/>
          <w:kern w:val="0"/>
          <w:szCs w:val="24"/>
        </w:rPr>
        <w:t xml:space="preserve">Article 2 </w:t>
      </w:r>
      <w:r w:rsidRPr="00B902C6">
        <w:rPr>
          <w:rFonts w:ascii="標楷體" w:eastAsia="標楷體" w:hAnsi="標楷體" w:cs="新細明體"/>
          <w:b/>
          <w:bCs/>
          <w:color w:val="000000"/>
          <w:kern w:val="0"/>
          <w:szCs w:val="24"/>
        </w:rPr>
        <w:t>(Case Priority and Referral)</w:t>
      </w:r>
      <w:r w:rsidRPr="00B902C6">
        <w:rPr>
          <w:rFonts w:ascii="標楷體" w:eastAsia="標楷體" w:hAnsi="標楷體" w:cs="新細明體"/>
          <w:color w:val="000000"/>
          <w:kern w:val="0"/>
          <w:szCs w:val="24"/>
        </w:rPr>
        <w:t xml:space="preserve"> </w:t>
      </w:r>
    </w:p>
    <w:p w14:paraId="243E7BF0" w14:textId="6CCD85FA"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If multiple cases require simultaneous processing within the same period, priority shall be given to countersignatures and consultations regarding official university legal matters. For special major cases, complex issues, or matters falling outside the scope of the Department's consultation, the Department may provide referral information or refer the case to other professional units or individuals. </w:t>
      </w:r>
    </w:p>
    <w:p w14:paraId="17E51534"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3 (Consultation Procedure)</w:t>
      </w:r>
      <w:r w:rsidRPr="00B902C6">
        <w:rPr>
          <w:rFonts w:ascii="標楷體" w:eastAsia="標楷體" w:hAnsi="標楷體" w:cs="新細明體"/>
          <w:color w:val="000000"/>
          <w:kern w:val="0"/>
          <w:szCs w:val="24"/>
        </w:rPr>
        <w:t xml:space="preserve"> </w:t>
      </w:r>
    </w:p>
    <w:p w14:paraId="0C25614F" w14:textId="502AE020"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Consultants may make an appointment by sending the consultation form via the Department's email, preparing relevant documents, or by calling during office hours to schedule. Legal consultation will only be provided after the consultation form is completed and the identity of the person is verified by the Department. </w:t>
      </w:r>
    </w:p>
    <w:p w14:paraId="039A1982"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4</w:t>
      </w:r>
      <w:r w:rsidRPr="00B902C6">
        <w:rPr>
          <w:rFonts w:ascii="標楷體" w:eastAsia="標楷體" w:hAnsi="標楷體" w:cs="新細明體"/>
          <w:color w:val="000000"/>
          <w:kern w:val="0"/>
          <w:szCs w:val="24"/>
        </w:rPr>
        <w:t xml:space="preserve"> </w:t>
      </w:r>
    </w:p>
    <w:p w14:paraId="1112D33E" w14:textId="49D15157" w:rsidR="00B902C6" w:rsidRPr="00B902C6" w:rsidRDefault="00B902C6" w:rsidP="00B902C6">
      <w:pPr>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P</w:t>
      </w:r>
      <w:r w:rsidRPr="00B902C6">
        <w:rPr>
          <w:rFonts w:ascii="標楷體" w:eastAsia="標楷體" w:hAnsi="標楷體" w:cs="新細明體"/>
          <w:color w:val="000000"/>
          <w:kern w:val="0"/>
          <w:szCs w:val="24"/>
        </w:rPr>
        <w:t xml:space="preserve">ersonal data, necessary information, and consultation content (hereinafter referred to as "relevant data") provided to the Department for legal consultation shall be processed and used only within the scope necessary for the specific purpose regarding time, place, and parties. The relevant data retained by the Department shall not be used for other purposes. However, this restriction does not apply in cases complying with legal regulations or the following circumstances: </w:t>
      </w:r>
    </w:p>
    <w:p w14:paraId="6EB33C52" w14:textId="77777777" w:rsidR="00B902C6" w:rsidRDefault="00B902C6" w:rsidP="00B902C6">
      <w:pPr>
        <w:pStyle w:val="a9"/>
        <w:numPr>
          <w:ilvl w:val="0"/>
          <w:numId w:val="28"/>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Cooperating with lawful investigations by judicial units. </w:t>
      </w:r>
    </w:p>
    <w:p w14:paraId="47ED8DE8" w14:textId="77777777" w:rsidR="00B902C6" w:rsidRDefault="00B902C6" w:rsidP="00B902C6">
      <w:pPr>
        <w:pStyle w:val="a9"/>
        <w:numPr>
          <w:ilvl w:val="0"/>
          <w:numId w:val="28"/>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Cooperating with investigations or usage by government authorities based on their authority or official duties. </w:t>
      </w:r>
    </w:p>
    <w:p w14:paraId="1FF66CCC" w14:textId="77777777" w:rsidR="00B902C6" w:rsidRDefault="00B902C6" w:rsidP="00B902C6">
      <w:pPr>
        <w:pStyle w:val="a9"/>
        <w:numPr>
          <w:ilvl w:val="0"/>
          <w:numId w:val="28"/>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Based on a good faith belief that the processing or use of relevant data is necessary by law. </w:t>
      </w:r>
    </w:p>
    <w:p w14:paraId="563C8CEF" w14:textId="77777777" w:rsidR="00B902C6" w:rsidRDefault="00B902C6" w:rsidP="00B902C6">
      <w:pPr>
        <w:pStyle w:val="a9"/>
        <w:numPr>
          <w:ilvl w:val="0"/>
          <w:numId w:val="28"/>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When the consultant violates relevant laws or regulations, or may damage or obstruct the Department's operations, or cause harm to anyone, and the Department analyzes that processing or using relevant data is necessary for identification, contact, or legal action. </w:t>
      </w:r>
    </w:p>
    <w:p w14:paraId="498DE6DE" w14:textId="77777777" w:rsidR="00B902C6" w:rsidRDefault="00B902C6" w:rsidP="00B902C6">
      <w:pPr>
        <w:pStyle w:val="a9"/>
        <w:numPr>
          <w:ilvl w:val="0"/>
          <w:numId w:val="28"/>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When deemed necessary by the Department to protect the rights and interests of the university, faculty, staff, and students. </w:t>
      </w:r>
    </w:p>
    <w:p w14:paraId="45314E66" w14:textId="7753165D" w:rsidR="00B902C6" w:rsidRPr="00B902C6" w:rsidRDefault="00B902C6" w:rsidP="00B902C6">
      <w:pPr>
        <w:pStyle w:val="a9"/>
        <w:numPr>
          <w:ilvl w:val="0"/>
          <w:numId w:val="28"/>
        </w:numPr>
        <w:snapToGrid w:val="0"/>
        <w:spacing w:afterLines="50" w:after="190"/>
        <w:ind w:leftChars="0" w:left="482" w:hanging="482"/>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With the consent of the consultant. </w:t>
      </w:r>
    </w:p>
    <w:p w14:paraId="01F5776D"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5 (Cases Not Accepted)</w:t>
      </w:r>
      <w:r w:rsidRPr="00B902C6">
        <w:rPr>
          <w:rFonts w:ascii="標楷體" w:eastAsia="標楷體" w:hAnsi="標楷體" w:cs="新細明體"/>
          <w:color w:val="000000"/>
          <w:kern w:val="0"/>
          <w:szCs w:val="24"/>
        </w:rPr>
        <w:t xml:space="preserve"> </w:t>
      </w:r>
    </w:p>
    <w:p w14:paraId="0F9977EC" w14:textId="630640EC" w:rsidR="00B902C6" w:rsidRP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Legal consultation will not be accepted in any of the following circumstances:</w:t>
      </w:r>
    </w:p>
    <w:p w14:paraId="6603FCA1"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The application procedure for consultation violates regulations. </w:t>
      </w:r>
    </w:p>
    <w:p w14:paraId="5DDC8CD3"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Cases that have already been processed and closed. However, this does not apply to the review of official university documents and contracts. </w:t>
      </w:r>
    </w:p>
    <w:p w14:paraId="218C0171"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Mere annotation of legal provisions. However, this does not apply if based on official duty requirements. </w:t>
      </w:r>
    </w:p>
    <w:p w14:paraId="59488E7D"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lastRenderedPageBreak/>
        <w:t xml:space="preserve">Matters falling within the authority of various university units that do not involve legal interpretation. </w:t>
      </w:r>
    </w:p>
    <w:p w14:paraId="4A0C4541"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Collection of legal information. </w:t>
      </w:r>
    </w:p>
    <w:p w14:paraId="0BA0BCB9" w14:textId="77777777" w:rsidR="00B902C6" w:rsidRDefault="00B902C6" w:rsidP="00B902C6">
      <w:pPr>
        <w:pStyle w:val="a9"/>
        <w:numPr>
          <w:ilvl w:val="0"/>
          <w:numId w:val="29"/>
        </w:numPr>
        <w:snapToGrid w:val="0"/>
        <w:ind w:leftChars="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Answers to assignments for students' law-related courses. </w:t>
      </w:r>
    </w:p>
    <w:p w14:paraId="50D64B65" w14:textId="35229AFD" w:rsidR="00B902C6" w:rsidRPr="00B902C6" w:rsidRDefault="00B902C6" w:rsidP="00B902C6">
      <w:pPr>
        <w:pStyle w:val="a9"/>
        <w:numPr>
          <w:ilvl w:val="0"/>
          <w:numId w:val="29"/>
        </w:numPr>
        <w:snapToGrid w:val="0"/>
        <w:spacing w:afterLines="50" w:after="190"/>
        <w:ind w:leftChars="0" w:left="482" w:hanging="482"/>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Legal opinions on current event commentaries. </w:t>
      </w:r>
    </w:p>
    <w:p w14:paraId="571D0ED5"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6 (Consultation on Foreign Language Documents)</w:t>
      </w:r>
      <w:r w:rsidRPr="00B902C6">
        <w:rPr>
          <w:rFonts w:ascii="標楷體" w:eastAsia="標楷體" w:hAnsi="標楷體" w:cs="新細明體"/>
          <w:color w:val="000000"/>
          <w:kern w:val="0"/>
          <w:szCs w:val="24"/>
        </w:rPr>
        <w:t xml:space="preserve"> </w:t>
      </w:r>
    </w:p>
    <w:p w14:paraId="48173071" w14:textId="7482C06D"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Before submitting foreign language documents for review, please prepare a Chinese version or a Chinese summary and submit it along with the original document. </w:t>
      </w:r>
    </w:p>
    <w:p w14:paraId="383C1873"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7 (Marking Modifications)</w:t>
      </w:r>
      <w:r w:rsidRPr="00B902C6">
        <w:rPr>
          <w:rFonts w:ascii="標楷體" w:eastAsia="標楷體" w:hAnsi="標楷體" w:cs="新細明體"/>
          <w:color w:val="000000"/>
          <w:kern w:val="0"/>
          <w:szCs w:val="24"/>
        </w:rPr>
        <w:t xml:space="preserve"> </w:t>
      </w:r>
    </w:p>
    <w:p w14:paraId="3CAA3538" w14:textId="1E6588C1"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When processing follow-up reviews for unclosed cases, modifications must be marked to facilitate the review. </w:t>
      </w:r>
    </w:p>
    <w:p w14:paraId="6A274BBD"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8 (Preparation of Review Documents)</w:t>
      </w:r>
      <w:r w:rsidRPr="00B902C6">
        <w:rPr>
          <w:rFonts w:ascii="標楷體" w:eastAsia="標楷體" w:hAnsi="標楷體" w:cs="新細明體"/>
          <w:color w:val="000000"/>
          <w:kern w:val="0"/>
          <w:szCs w:val="24"/>
        </w:rPr>
        <w:t xml:space="preserve"> </w:t>
      </w:r>
    </w:p>
    <w:p w14:paraId="68C87AD6" w14:textId="10CED753" w:rsidR="00B902C6" w:rsidRPr="00B902C6" w:rsidRDefault="00B902C6" w:rsidP="00B902C6">
      <w:pPr>
        <w:snapToGrid w:val="0"/>
        <w:spacing w:afterLines="50" w:after="19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When submitting regulatory cases for review, amendments to regulations should be prepared using a "comparison table of revised articles." New or redrafted regulations should be prepared with an "explanation of new or redrafted articles" before submission. </w:t>
      </w:r>
    </w:p>
    <w:p w14:paraId="318848B2" w14:textId="77777777" w:rsid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b/>
          <w:bCs/>
          <w:color w:val="000000"/>
          <w:kern w:val="0"/>
          <w:szCs w:val="24"/>
        </w:rPr>
        <w:t>Article 9 (Implementation)</w:t>
      </w:r>
      <w:r w:rsidRPr="00B902C6">
        <w:rPr>
          <w:rFonts w:ascii="標楷體" w:eastAsia="標楷體" w:hAnsi="標楷體" w:cs="新細明體"/>
          <w:color w:val="000000"/>
          <w:kern w:val="0"/>
          <w:szCs w:val="24"/>
        </w:rPr>
        <w:t xml:space="preserve"> </w:t>
      </w:r>
    </w:p>
    <w:p w14:paraId="6E1D473F" w14:textId="6BE45470" w:rsidR="00B902C6" w:rsidRPr="00B902C6" w:rsidRDefault="00B902C6" w:rsidP="00B902C6">
      <w:pPr>
        <w:snapToGrid w:val="0"/>
        <w:rPr>
          <w:rFonts w:ascii="標楷體" w:eastAsia="標楷體" w:hAnsi="標楷體" w:cs="新細明體"/>
          <w:color w:val="000000"/>
          <w:kern w:val="0"/>
          <w:szCs w:val="24"/>
        </w:rPr>
      </w:pPr>
      <w:r w:rsidRPr="00B902C6">
        <w:rPr>
          <w:rFonts w:ascii="標楷體" w:eastAsia="標楷體" w:hAnsi="標楷體" w:cs="新細明體"/>
          <w:color w:val="000000"/>
          <w:kern w:val="0"/>
          <w:szCs w:val="24"/>
        </w:rPr>
        <w:t xml:space="preserve">These regulations may be revised and published for implementation as needed. </w:t>
      </w:r>
    </w:p>
    <w:p w14:paraId="643B9819" w14:textId="24EAD5CA" w:rsidR="009561C6" w:rsidRPr="00B902C6" w:rsidRDefault="009561C6" w:rsidP="00B902C6">
      <w:pPr>
        <w:widowControl/>
        <w:snapToGrid w:val="0"/>
        <w:rPr>
          <w:rFonts w:ascii="標楷體" w:eastAsia="標楷體" w:hAnsi="標楷體" w:cs="新細明體"/>
          <w:color w:val="000000"/>
          <w:kern w:val="0"/>
          <w:sz w:val="28"/>
          <w:szCs w:val="28"/>
        </w:rPr>
      </w:pPr>
    </w:p>
    <w:sectPr w:rsidR="009561C6" w:rsidRPr="00B902C6" w:rsidSect="00E56236">
      <w:footerReference w:type="even" r:id="rId9"/>
      <w:footerReference w:type="default" r:id="rId10"/>
      <w:pgSz w:w="11906" w:h="16838" w:code="9"/>
      <w:pgMar w:top="624" w:right="851" w:bottom="329" w:left="851" w:header="567" w:footer="567" w:gutter="0"/>
      <w:cols w:space="425"/>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1C6D" w14:textId="77777777" w:rsidR="004A715B" w:rsidRDefault="004A715B">
      <w:r>
        <w:separator/>
      </w:r>
    </w:p>
  </w:endnote>
  <w:endnote w:type="continuationSeparator" w:id="0">
    <w:p w14:paraId="71933B76" w14:textId="77777777" w:rsidR="004A715B" w:rsidRDefault="004A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327" w14:textId="77777777" w:rsidR="008C365D" w:rsidRDefault="008C36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50D6A6" w14:textId="77777777" w:rsidR="008C365D" w:rsidRDefault="008C36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A23B" w14:textId="77777777" w:rsidR="008C365D" w:rsidRDefault="008C36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0A6C">
      <w:rPr>
        <w:rStyle w:val="a5"/>
        <w:noProof/>
      </w:rPr>
      <w:t>2</w:t>
    </w:r>
    <w:r>
      <w:rPr>
        <w:rStyle w:val="a5"/>
      </w:rPr>
      <w:fldChar w:fldCharType="end"/>
    </w:r>
  </w:p>
  <w:p w14:paraId="7C6896F5" w14:textId="77777777" w:rsidR="008C365D" w:rsidRDefault="008C36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053E" w14:textId="77777777" w:rsidR="004A715B" w:rsidRDefault="004A715B">
      <w:r>
        <w:separator/>
      </w:r>
    </w:p>
  </w:footnote>
  <w:footnote w:type="continuationSeparator" w:id="0">
    <w:p w14:paraId="58261F92" w14:textId="77777777" w:rsidR="004A715B" w:rsidRDefault="004A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83D"/>
    <w:multiLevelType w:val="hybridMultilevel"/>
    <w:tmpl w:val="EA241448"/>
    <w:lvl w:ilvl="0" w:tplc="927897A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43F1A70"/>
    <w:multiLevelType w:val="hybridMultilevel"/>
    <w:tmpl w:val="676CF6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5C4C0E"/>
    <w:multiLevelType w:val="hybridMultilevel"/>
    <w:tmpl w:val="B2A276FA"/>
    <w:lvl w:ilvl="0" w:tplc="B7FAAA88">
      <w:numFmt w:val="bullet"/>
      <w:lvlText w:val="□"/>
      <w:lvlJc w:val="left"/>
      <w:pPr>
        <w:ind w:left="460" w:hanging="360"/>
      </w:pPr>
      <w:rPr>
        <w:rFonts w:ascii="標楷體" w:eastAsia="標楷體" w:hAnsi="標楷體" w:cs="Times New Roman" w:hint="eastAsia"/>
        <w:color w:val="auto"/>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 w15:restartNumberingAfterBreak="0">
    <w:nsid w:val="084F6242"/>
    <w:multiLevelType w:val="hybridMultilevel"/>
    <w:tmpl w:val="1470869E"/>
    <w:lvl w:ilvl="0" w:tplc="B6CC61C4">
      <w:start w:val="1"/>
      <w:numFmt w:val="taiwaneseCountingThousand"/>
      <w:lvlText w:val="%1、"/>
      <w:lvlJc w:val="left"/>
      <w:pPr>
        <w:tabs>
          <w:tab w:val="num" w:pos="408"/>
        </w:tabs>
        <w:ind w:left="408" w:hanging="40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E51F93"/>
    <w:multiLevelType w:val="hybridMultilevel"/>
    <w:tmpl w:val="1C540736"/>
    <w:lvl w:ilvl="0" w:tplc="A3628D9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2A657A"/>
    <w:multiLevelType w:val="hybridMultilevel"/>
    <w:tmpl w:val="6D04C7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F743E2"/>
    <w:multiLevelType w:val="hybridMultilevel"/>
    <w:tmpl w:val="BC06A2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16AD6"/>
    <w:multiLevelType w:val="hybridMultilevel"/>
    <w:tmpl w:val="6B4251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802CC"/>
    <w:multiLevelType w:val="hybridMultilevel"/>
    <w:tmpl w:val="FF0E6CA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4F3F15"/>
    <w:multiLevelType w:val="multilevel"/>
    <w:tmpl w:val="9A7C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B520F"/>
    <w:multiLevelType w:val="hybridMultilevel"/>
    <w:tmpl w:val="065A2304"/>
    <w:lvl w:ilvl="0" w:tplc="FD1E25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6E5DF2"/>
    <w:multiLevelType w:val="multilevel"/>
    <w:tmpl w:val="9930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B0B55"/>
    <w:multiLevelType w:val="hybridMultilevel"/>
    <w:tmpl w:val="FA82E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DC6A42"/>
    <w:multiLevelType w:val="hybridMultilevel"/>
    <w:tmpl w:val="A2D6607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0B7291"/>
    <w:multiLevelType w:val="hybridMultilevel"/>
    <w:tmpl w:val="D218736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A94614"/>
    <w:multiLevelType w:val="hybridMultilevel"/>
    <w:tmpl w:val="2E9A12CC"/>
    <w:lvl w:ilvl="0" w:tplc="ABF2E9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E94896"/>
    <w:multiLevelType w:val="hybridMultilevel"/>
    <w:tmpl w:val="C37AA186"/>
    <w:lvl w:ilvl="0" w:tplc="441A2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CF3C54"/>
    <w:multiLevelType w:val="hybridMultilevel"/>
    <w:tmpl w:val="15B89E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AF7817"/>
    <w:multiLevelType w:val="hybridMultilevel"/>
    <w:tmpl w:val="475AAC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9CC550A"/>
    <w:multiLevelType w:val="hybridMultilevel"/>
    <w:tmpl w:val="BF34AACA"/>
    <w:lvl w:ilvl="0" w:tplc="F20EBE3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EA1378A"/>
    <w:multiLevelType w:val="hybridMultilevel"/>
    <w:tmpl w:val="4C7C879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A15566"/>
    <w:multiLevelType w:val="hybridMultilevel"/>
    <w:tmpl w:val="6448AAC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221D31"/>
    <w:multiLevelType w:val="hybridMultilevel"/>
    <w:tmpl w:val="080AB5FC"/>
    <w:lvl w:ilvl="0" w:tplc="FD1E25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4B72A69"/>
    <w:multiLevelType w:val="hybridMultilevel"/>
    <w:tmpl w:val="4928D50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E42F03"/>
    <w:multiLevelType w:val="hybridMultilevel"/>
    <w:tmpl w:val="67CC6EF6"/>
    <w:lvl w:ilvl="0" w:tplc="009E2622">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C1F4CE0"/>
    <w:multiLevelType w:val="hybridMultilevel"/>
    <w:tmpl w:val="0A92C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AD1E54"/>
    <w:multiLevelType w:val="hybridMultilevel"/>
    <w:tmpl w:val="750A8654"/>
    <w:lvl w:ilvl="0" w:tplc="282808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4363CC8"/>
    <w:multiLevelType w:val="hybridMultilevel"/>
    <w:tmpl w:val="C8620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CD1B13"/>
    <w:multiLevelType w:val="hybridMultilevel"/>
    <w:tmpl w:val="00DA018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54D4DBA"/>
    <w:multiLevelType w:val="hybridMultilevel"/>
    <w:tmpl w:val="22765622"/>
    <w:lvl w:ilvl="0" w:tplc="7088A05A">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5922746">
    <w:abstractNumId w:val="4"/>
  </w:num>
  <w:num w:numId="2" w16cid:durableId="689261391">
    <w:abstractNumId w:val="22"/>
  </w:num>
  <w:num w:numId="3" w16cid:durableId="232207613">
    <w:abstractNumId w:val="24"/>
  </w:num>
  <w:num w:numId="4" w16cid:durableId="685255376">
    <w:abstractNumId w:val="10"/>
  </w:num>
  <w:num w:numId="5" w16cid:durableId="990985650">
    <w:abstractNumId w:val="15"/>
  </w:num>
  <w:num w:numId="6" w16cid:durableId="1447431475">
    <w:abstractNumId w:val="19"/>
  </w:num>
  <w:num w:numId="7" w16cid:durableId="907956130">
    <w:abstractNumId w:val="26"/>
  </w:num>
  <w:num w:numId="8" w16cid:durableId="1426926486">
    <w:abstractNumId w:val="0"/>
  </w:num>
  <w:num w:numId="9" w16cid:durableId="2068724214">
    <w:abstractNumId w:val="3"/>
  </w:num>
  <w:num w:numId="10" w16cid:durableId="2097902996">
    <w:abstractNumId w:val="21"/>
  </w:num>
  <w:num w:numId="11" w16cid:durableId="1944144664">
    <w:abstractNumId w:val="28"/>
  </w:num>
  <w:num w:numId="12" w16cid:durableId="1460032148">
    <w:abstractNumId w:val="18"/>
  </w:num>
  <w:num w:numId="13" w16cid:durableId="5137370">
    <w:abstractNumId w:val="6"/>
  </w:num>
  <w:num w:numId="14" w16cid:durableId="1454517431">
    <w:abstractNumId w:val="20"/>
  </w:num>
  <w:num w:numId="15" w16cid:durableId="266545236">
    <w:abstractNumId w:val="23"/>
  </w:num>
  <w:num w:numId="16" w16cid:durableId="630677059">
    <w:abstractNumId w:val="14"/>
  </w:num>
  <w:num w:numId="17" w16cid:durableId="2143494338">
    <w:abstractNumId w:val="13"/>
  </w:num>
  <w:num w:numId="18" w16cid:durableId="1049838282">
    <w:abstractNumId w:val="8"/>
  </w:num>
  <w:num w:numId="19" w16cid:durableId="149447510">
    <w:abstractNumId w:val="27"/>
  </w:num>
  <w:num w:numId="20" w16cid:durableId="894586683">
    <w:abstractNumId w:val="1"/>
  </w:num>
  <w:num w:numId="21" w16cid:durableId="426578919">
    <w:abstractNumId w:val="5"/>
  </w:num>
  <w:num w:numId="22" w16cid:durableId="936595383">
    <w:abstractNumId w:val="7"/>
  </w:num>
  <w:num w:numId="23" w16cid:durableId="1512144089">
    <w:abstractNumId w:val="16"/>
  </w:num>
  <w:num w:numId="24" w16cid:durableId="40986429">
    <w:abstractNumId w:val="17"/>
  </w:num>
  <w:num w:numId="25" w16cid:durableId="1604801131">
    <w:abstractNumId w:val="29"/>
  </w:num>
  <w:num w:numId="26" w16cid:durableId="1213925173">
    <w:abstractNumId w:val="11"/>
  </w:num>
  <w:num w:numId="27" w16cid:durableId="1745028329">
    <w:abstractNumId w:val="9"/>
  </w:num>
  <w:num w:numId="28" w16cid:durableId="1263881489">
    <w:abstractNumId w:val="25"/>
  </w:num>
  <w:num w:numId="29" w16cid:durableId="927349307">
    <w:abstractNumId w:val="12"/>
  </w:num>
  <w:num w:numId="30" w16cid:durableId="182808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C9"/>
    <w:rsid w:val="0000526A"/>
    <w:rsid w:val="00006E38"/>
    <w:rsid w:val="0000795C"/>
    <w:rsid w:val="000103C0"/>
    <w:rsid w:val="00011779"/>
    <w:rsid w:val="000136E9"/>
    <w:rsid w:val="00016FBE"/>
    <w:rsid w:val="000201ED"/>
    <w:rsid w:val="00022ED9"/>
    <w:rsid w:val="00025E2B"/>
    <w:rsid w:val="000338EA"/>
    <w:rsid w:val="00034336"/>
    <w:rsid w:val="000366CF"/>
    <w:rsid w:val="00047D4F"/>
    <w:rsid w:val="000539D6"/>
    <w:rsid w:val="0006467B"/>
    <w:rsid w:val="000730EC"/>
    <w:rsid w:val="00077FA9"/>
    <w:rsid w:val="00081A4A"/>
    <w:rsid w:val="00081AC8"/>
    <w:rsid w:val="00082784"/>
    <w:rsid w:val="00082942"/>
    <w:rsid w:val="00085892"/>
    <w:rsid w:val="00087FBE"/>
    <w:rsid w:val="00090987"/>
    <w:rsid w:val="00091C7D"/>
    <w:rsid w:val="0009351E"/>
    <w:rsid w:val="00097AB7"/>
    <w:rsid w:val="000A0401"/>
    <w:rsid w:val="000A4951"/>
    <w:rsid w:val="000B0590"/>
    <w:rsid w:val="000B2CF1"/>
    <w:rsid w:val="000C06EA"/>
    <w:rsid w:val="000C3EE6"/>
    <w:rsid w:val="000C40DE"/>
    <w:rsid w:val="000C5067"/>
    <w:rsid w:val="000D2350"/>
    <w:rsid w:val="000E0C44"/>
    <w:rsid w:val="000E3913"/>
    <w:rsid w:val="000E4BE8"/>
    <w:rsid w:val="000F0BD4"/>
    <w:rsid w:val="000F0DC0"/>
    <w:rsid w:val="000F3407"/>
    <w:rsid w:val="000F4278"/>
    <w:rsid w:val="000F4286"/>
    <w:rsid w:val="000F4A36"/>
    <w:rsid w:val="00100B5B"/>
    <w:rsid w:val="00103000"/>
    <w:rsid w:val="00112D46"/>
    <w:rsid w:val="0012221D"/>
    <w:rsid w:val="00126FFB"/>
    <w:rsid w:val="00141822"/>
    <w:rsid w:val="001419CF"/>
    <w:rsid w:val="001436B8"/>
    <w:rsid w:val="00144B5E"/>
    <w:rsid w:val="00145AFE"/>
    <w:rsid w:val="00147557"/>
    <w:rsid w:val="00152A04"/>
    <w:rsid w:val="00154A19"/>
    <w:rsid w:val="001562DF"/>
    <w:rsid w:val="0016001B"/>
    <w:rsid w:val="001671F0"/>
    <w:rsid w:val="00175DF2"/>
    <w:rsid w:val="00185480"/>
    <w:rsid w:val="00187BEF"/>
    <w:rsid w:val="0019336C"/>
    <w:rsid w:val="00194875"/>
    <w:rsid w:val="001A307F"/>
    <w:rsid w:val="001B1F40"/>
    <w:rsid w:val="001C10C0"/>
    <w:rsid w:val="001C5247"/>
    <w:rsid w:val="001D37B9"/>
    <w:rsid w:val="001D41DC"/>
    <w:rsid w:val="001E605E"/>
    <w:rsid w:val="001F1E84"/>
    <w:rsid w:val="001F2FE3"/>
    <w:rsid w:val="001F770D"/>
    <w:rsid w:val="00201D4F"/>
    <w:rsid w:val="00205006"/>
    <w:rsid w:val="00231F2A"/>
    <w:rsid w:val="00232EDD"/>
    <w:rsid w:val="002439C2"/>
    <w:rsid w:val="00246709"/>
    <w:rsid w:val="00277161"/>
    <w:rsid w:val="00280AA7"/>
    <w:rsid w:val="0028538A"/>
    <w:rsid w:val="00285FF6"/>
    <w:rsid w:val="00286327"/>
    <w:rsid w:val="002872ED"/>
    <w:rsid w:val="002A1ED5"/>
    <w:rsid w:val="002A6861"/>
    <w:rsid w:val="002A6F66"/>
    <w:rsid w:val="002B12A3"/>
    <w:rsid w:val="002B285C"/>
    <w:rsid w:val="002B5909"/>
    <w:rsid w:val="002B664E"/>
    <w:rsid w:val="002B7D52"/>
    <w:rsid w:val="002C0460"/>
    <w:rsid w:val="002D1A00"/>
    <w:rsid w:val="002D3BC2"/>
    <w:rsid w:val="002D4951"/>
    <w:rsid w:val="002D4BE7"/>
    <w:rsid w:val="002E1C62"/>
    <w:rsid w:val="002E51BC"/>
    <w:rsid w:val="002F0975"/>
    <w:rsid w:val="002F7728"/>
    <w:rsid w:val="002F7B42"/>
    <w:rsid w:val="003016A1"/>
    <w:rsid w:val="00302FAE"/>
    <w:rsid w:val="0030361D"/>
    <w:rsid w:val="003045BA"/>
    <w:rsid w:val="00304CF7"/>
    <w:rsid w:val="00305FF1"/>
    <w:rsid w:val="0030604B"/>
    <w:rsid w:val="00311729"/>
    <w:rsid w:val="00313C9E"/>
    <w:rsid w:val="003142E9"/>
    <w:rsid w:val="00323052"/>
    <w:rsid w:val="003261F3"/>
    <w:rsid w:val="0033386B"/>
    <w:rsid w:val="003373F4"/>
    <w:rsid w:val="0034070B"/>
    <w:rsid w:val="00341768"/>
    <w:rsid w:val="003475C7"/>
    <w:rsid w:val="00351820"/>
    <w:rsid w:val="00357006"/>
    <w:rsid w:val="00360BFD"/>
    <w:rsid w:val="00361880"/>
    <w:rsid w:val="003734BE"/>
    <w:rsid w:val="0037373D"/>
    <w:rsid w:val="00373B3B"/>
    <w:rsid w:val="003836EE"/>
    <w:rsid w:val="003846C4"/>
    <w:rsid w:val="00391807"/>
    <w:rsid w:val="003920C3"/>
    <w:rsid w:val="00393548"/>
    <w:rsid w:val="00397E85"/>
    <w:rsid w:val="003A7B29"/>
    <w:rsid w:val="003B26A1"/>
    <w:rsid w:val="003B3F76"/>
    <w:rsid w:val="003C0705"/>
    <w:rsid w:val="003C33DE"/>
    <w:rsid w:val="003C495B"/>
    <w:rsid w:val="003D0365"/>
    <w:rsid w:val="003D3977"/>
    <w:rsid w:val="003D404A"/>
    <w:rsid w:val="003D4234"/>
    <w:rsid w:val="003E683E"/>
    <w:rsid w:val="003E6D72"/>
    <w:rsid w:val="003F29CF"/>
    <w:rsid w:val="003F3D3B"/>
    <w:rsid w:val="00401E88"/>
    <w:rsid w:val="00404B8E"/>
    <w:rsid w:val="00404BC0"/>
    <w:rsid w:val="00405D6A"/>
    <w:rsid w:val="00411306"/>
    <w:rsid w:val="0041409D"/>
    <w:rsid w:val="00417F75"/>
    <w:rsid w:val="00423F5F"/>
    <w:rsid w:val="00427449"/>
    <w:rsid w:val="0043078F"/>
    <w:rsid w:val="00433F32"/>
    <w:rsid w:val="0044679C"/>
    <w:rsid w:val="004507CC"/>
    <w:rsid w:val="00461452"/>
    <w:rsid w:val="0046220F"/>
    <w:rsid w:val="00464218"/>
    <w:rsid w:val="0046762F"/>
    <w:rsid w:val="00471028"/>
    <w:rsid w:val="00474E17"/>
    <w:rsid w:val="00480885"/>
    <w:rsid w:val="00483405"/>
    <w:rsid w:val="00484E89"/>
    <w:rsid w:val="004872CC"/>
    <w:rsid w:val="00492DF0"/>
    <w:rsid w:val="00493784"/>
    <w:rsid w:val="004943CD"/>
    <w:rsid w:val="00495620"/>
    <w:rsid w:val="004A030B"/>
    <w:rsid w:val="004A58C9"/>
    <w:rsid w:val="004A715B"/>
    <w:rsid w:val="004B04D7"/>
    <w:rsid w:val="004B37A0"/>
    <w:rsid w:val="004B4EEC"/>
    <w:rsid w:val="004B5B87"/>
    <w:rsid w:val="004B5F6B"/>
    <w:rsid w:val="004B7787"/>
    <w:rsid w:val="004C0E17"/>
    <w:rsid w:val="004C26EA"/>
    <w:rsid w:val="004D0CA8"/>
    <w:rsid w:val="004D1525"/>
    <w:rsid w:val="004D5C58"/>
    <w:rsid w:val="004D6F6B"/>
    <w:rsid w:val="004E0537"/>
    <w:rsid w:val="004F40B1"/>
    <w:rsid w:val="004F45E1"/>
    <w:rsid w:val="005002BA"/>
    <w:rsid w:val="00500476"/>
    <w:rsid w:val="005075EB"/>
    <w:rsid w:val="00507AD1"/>
    <w:rsid w:val="00510EF1"/>
    <w:rsid w:val="00514CC6"/>
    <w:rsid w:val="0052341D"/>
    <w:rsid w:val="00525B2C"/>
    <w:rsid w:val="00533427"/>
    <w:rsid w:val="005465BB"/>
    <w:rsid w:val="005546CC"/>
    <w:rsid w:val="00554E36"/>
    <w:rsid w:val="00572786"/>
    <w:rsid w:val="00574FBB"/>
    <w:rsid w:val="0057645A"/>
    <w:rsid w:val="00576784"/>
    <w:rsid w:val="005770A0"/>
    <w:rsid w:val="005821AC"/>
    <w:rsid w:val="00587CDF"/>
    <w:rsid w:val="00591722"/>
    <w:rsid w:val="00591B9B"/>
    <w:rsid w:val="00593321"/>
    <w:rsid w:val="00593E76"/>
    <w:rsid w:val="005A3A1D"/>
    <w:rsid w:val="005A3AD5"/>
    <w:rsid w:val="005A4480"/>
    <w:rsid w:val="005A478B"/>
    <w:rsid w:val="005A641C"/>
    <w:rsid w:val="005B576C"/>
    <w:rsid w:val="005B7B6E"/>
    <w:rsid w:val="005C039F"/>
    <w:rsid w:val="005C4868"/>
    <w:rsid w:val="005D09AE"/>
    <w:rsid w:val="005D7618"/>
    <w:rsid w:val="005E4930"/>
    <w:rsid w:val="005F2E4E"/>
    <w:rsid w:val="005F3576"/>
    <w:rsid w:val="006064D2"/>
    <w:rsid w:val="00610D88"/>
    <w:rsid w:val="00616334"/>
    <w:rsid w:val="006309F9"/>
    <w:rsid w:val="00632F24"/>
    <w:rsid w:val="006378EE"/>
    <w:rsid w:val="006431A1"/>
    <w:rsid w:val="006467C4"/>
    <w:rsid w:val="00652B49"/>
    <w:rsid w:val="00652D72"/>
    <w:rsid w:val="00655CC0"/>
    <w:rsid w:val="00656631"/>
    <w:rsid w:val="0066391B"/>
    <w:rsid w:val="00672417"/>
    <w:rsid w:val="006740E2"/>
    <w:rsid w:val="006825F8"/>
    <w:rsid w:val="006A5824"/>
    <w:rsid w:val="006A5D82"/>
    <w:rsid w:val="006A757B"/>
    <w:rsid w:val="006B040F"/>
    <w:rsid w:val="006B2EF5"/>
    <w:rsid w:val="006B4E72"/>
    <w:rsid w:val="006C014A"/>
    <w:rsid w:val="006C053E"/>
    <w:rsid w:val="006C13C9"/>
    <w:rsid w:val="006C1DB6"/>
    <w:rsid w:val="006C1E5E"/>
    <w:rsid w:val="006C292E"/>
    <w:rsid w:val="006D20C1"/>
    <w:rsid w:val="006D5C23"/>
    <w:rsid w:val="006E242A"/>
    <w:rsid w:val="006E273A"/>
    <w:rsid w:val="006E2F4C"/>
    <w:rsid w:val="006E3B21"/>
    <w:rsid w:val="006F5B16"/>
    <w:rsid w:val="006F7191"/>
    <w:rsid w:val="006F765E"/>
    <w:rsid w:val="00700F8C"/>
    <w:rsid w:val="0070362D"/>
    <w:rsid w:val="00703A9B"/>
    <w:rsid w:val="00715130"/>
    <w:rsid w:val="00722A79"/>
    <w:rsid w:val="0072491F"/>
    <w:rsid w:val="00750CD2"/>
    <w:rsid w:val="00751E54"/>
    <w:rsid w:val="007532A8"/>
    <w:rsid w:val="00756221"/>
    <w:rsid w:val="0076472E"/>
    <w:rsid w:val="007657F0"/>
    <w:rsid w:val="00765C1C"/>
    <w:rsid w:val="0078515E"/>
    <w:rsid w:val="00785C83"/>
    <w:rsid w:val="00794B1B"/>
    <w:rsid w:val="007A5B9C"/>
    <w:rsid w:val="007A704B"/>
    <w:rsid w:val="007A765C"/>
    <w:rsid w:val="007B0456"/>
    <w:rsid w:val="007B0623"/>
    <w:rsid w:val="007B0E55"/>
    <w:rsid w:val="007B2950"/>
    <w:rsid w:val="007B5693"/>
    <w:rsid w:val="007C091B"/>
    <w:rsid w:val="007C10DD"/>
    <w:rsid w:val="007C1A48"/>
    <w:rsid w:val="007C2968"/>
    <w:rsid w:val="007C41ED"/>
    <w:rsid w:val="007D0D4A"/>
    <w:rsid w:val="007D79C4"/>
    <w:rsid w:val="007F53BE"/>
    <w:rsid w:val="00804B53"/>
    <w:rsid w:val="0081037D"/>
    <w:rsid w:val="00810B1E"/>
    <w:rsid w:val="00812631"/>
    <w:rsid w:val="008172C4"/>
    <w:rsid w:val="00821799"/>
    <w:rsid w:val="00821BAE"/>
    <w:rsid w:val="00833F00"/>
    <w:rsid w:val="00833F30"/>
    <w:rsid w:val="00835372"/>
    <w:rsid w:val="00841B76"/>
    <w:rsid w:val="00856AED"/>
    <w:rsid w:val="00872DF7"/>
    <w:rsid w:val="008734F3"/>
    <w:rsid w:val="00882646"/>
    <w:rsid w:val="00884AD3"/>
    <w:rsid w:val="00887CA4"/>
    <w:rsid w:val="00890779"/>
    <w:rsid w:val="00890C25"/>
    <w:rsid w:val="0089161E"/>
    <w:rsid w:val="00896126"/>
    <w:rsid w:val="0089762E"/>
    <w:rsid w:val="008977A1"/>
    <w:rsid w:val="008A5D91"/>
    <w:rsid w:val="008A680A"/>
    <w:rsid w:val="008B34AB"/>
    <w:rsid w:val="008B3B9E"/>
    <w:rsid w:val="008B491F"/>
    <w:rsid w:val="008C365D"/>
    <w:rsid w:val="008D08DB"/>
    <w:rsid w:val="008D23A5"/>
    <w:rsid w:val="008D2A40"/>
    <w:rsid w:val="008D53E3"/>
    <w:rsid w:val="008E446F"/>
    <w:rsid w:val="008F0559"/>
    <w:rsid w:val="008F07E4"/>
    <w:rsid w:val="008F55BF"/>
    <w:rsid w:val="008F5AFA"/>
    <w:rsid w:val="00903571"/>
    <w:rsid w:val="00903C43"/>
    <w:rsid w:val="009117D2"/>
    <w:rsid w:val="00913249"/>
    <w:rsid w:val="0091535E"/>
    <w:rsid w:val="00923726"/>
    <w:rsid w:val="009259BA"/>
    <w:rsid w:val="00927890"/>
    <w:rsid w:val="009303AE"/>
    <w:rsid w:val="0093115D"/>
    <w:rsid w:val="00932379"/>
    <w:rsid w:val="00940AE8"/>
    <w:rsid w:val="00943DED"/>
    <w:rsid w:val="009471EB"/>
    <w:rsid w:val="009518D8"/>
    <w:rsid w:val="009561C6"/>
    <w:rsid w:val="00957480"/>
    <w:rsid w:val="00962AB8"/>
    <w:rsid w:val="00970B88"/>
    <w:rsid w:val="00974E38"/>
    <w:rsid w:val="00977194"/>
    <w:rsid w:val="00982534"/>
    <w:rsid w:val="00985AC4"/>
    <w:rsid w:val="00986FFF"/>
    <w:rsid w:val="009904AA"/>
    <w:rsid w:val="009B577B"/>
    <w:rsid w:val="009B608B"/>
    <w:rsid w:val="009B62D2"/>
    <w:rsid w:val="009C230E"/>
    <w:rsid w:val="009C5383"/>
    <w:rsid w:val="009C5D1B"/>
    <w:rsid w:val="009C608B"/>
    <w:rsid w:val="009C737A"/>
    <w:rsid w:val="009D38E8"/>
    <w:rsid w:val="009E7319"/>
    <w:rsid w:val="009F1A5F"/>
    <w:rsid w:val="009F1B60"/>
    <w:rsid w:val="009F33D4"/>
    <w:rsid w:val="00A00D37"/>
    <w:rsid w:val="00A02567"/>
    <w:rsid w:val="00A07631"/>
    <w:rsid w:val="00A11E7D"/>
    <w:rsid w:val="00A1209C"/>
    <w:rsid w:val="00A122EC"/>
    <w:rsid w:val="00A154E7"/>
    <w:rsid w:val="00A16718"/>
    <w:rsid w:val="00A208F5"/>
    <w:rsid w:val="00A21AF4"/>
    <w:rsid w:val="00A27E64"/>
    <w:rsid w:val="00A31542"/>
    <w:rsid w:val="00A31E36"/>
    <w:rsid w:val="00A34396"/>
    <w:rsid w:val="00A43EBE"/>
    <w:rsid w:val="00A45EBC"/>
    <w:rsid w:val="00A7333D"/>
    <w:rsid w:val="00A74B7A"/>
    <w:rsid w:val="00A821C3"/>
    <w:rsid w:val="00A84A77"/>
    <w:rsid w:val="00A84E0A"/>
    <w:rsid w:val="00A9073A"/>
    <w:rsid w:val="00A92AA8"/>
    <w:rsid w:val="00A95886"/>
    <w:rsid w:val="00A95A6A"/>
    <w:rsid w:val="00AA4DC9"/>
    <w:rsid w:val="00AB1A84"/>
    <w:rsid w:val="00AB787B"/>
    <w:rsid w:val="00AC21F6"/>
    <w:rsid w:val="00AC7EED"/>
    <w:rsid w:val="00AD1380"/>
    <w:rsid w:val="00AD22B3"/>
    <w:rsid w:val="00AD43F2"/>
    <w:rsid w:val="00AD64AD"/>
    <w:rsid w:val="00AD7E7C"/>
    <w:rsid w:val="00AE27A9"/>
    <w:rsid w:val="00AE3E7C"/>
    <w:rsid w:val="00AF2266"/>
    <w:rsid w:val="00B016E9"/>
    <w:rsid w:val="00B01E49"/>
    <w:rsid w:val="00B06E5E"/>
    <w:rsid w:val="00B1627B"/>
    <w:rsid w:val="00B25F0E"/>
    <w:rsid w:val="00B32BE3"/>
    <w:rsid w:val="00B3472D"/>
    <w:rsid w:val="00B36BB4"/>
    <w:rsid w:val="00B375A2"/>
    <w:rsid w:val="00B45608"/>
    <w:rsid w:val="00B508A6"/>
    <w:rsid w:val="00B53552"/>
    <w:rsid w:val="00B54AF8"/>
    <w:rsid w:val="00B5644F"/>
    <w:rsid w:val="00B64C19"/>
    <w:rsid w:val="00B70286"/>
    <w:rsid w:val="00B86635"/>
    <w:rsid w:val="00B902C6"/>
    <w:rsid w:val="00B90A9D"/>
    <w:rsid w:val="00B91C47"/>
    <w:rsid w:val="00B944ED"/>
    <w:rsid w:val="00B97C53"/>
    <w:rsid w:val="00BA2183"/>
    <w:rsid w:val="00BA3681"/>
    <w:rsid w:val="00BA4311"/>
    <w:rsid w:val="00BA7212"/>
    <w:rsid w:val="00BB4479"/>
    <w:rsid w:val="00BB50D6"/>
    <w:rsid w:val="00BB5F42"/>
    <w:rsid w:val="00BC06BC"/>
    <w:rsid w:val="00BC3A69"/>
    <w:rsid w:val="00BC5768"/>
    <w:rsid w:val="00BE0B11"/>
    <w:rsid w:val="00BE19EF"/>
    <w:rsid w:val="00BF4324"/>
    <w:rsid w:val="00BF577A"/>
    <w:rsid w:val="00C02FCF"/>
    <w:rsid w:val="00C05BC9"/>
    <w:rsid w:val="00C07398"/>
    <w:rsid w:val="00C1057F"/>
    <w:rsid w:val="00C141A2"/>
    <w:rsid w:val="00C14DA5"/>
    <w:rsid w:val="00C20245"/>
    <w:rsid w:val="00C32B4A"/>
    <w:rsid w:val="00C33544"/>
    <w:rsid w:val="00C51CAB"/>
    <w:rsid w:val="00C5396E"/>
    <w:rsid w:val="00C55E87"/>
    <w:rsid w:val="00C578FC"/>
    <w:rsid w:val="00C6014F"/>
    <w:rsid w:val="00C60527"/>
    <w:rsid w:val="00C613D5"/>
    <w:rsid w:val="00C645E6"/>
    <w:rsid w:val="00C64B23"/>
    <w:rsid w:val="00C71857"/>
    <w:rsid w:val="00C834DE"/>
    <w:rsid w:val="00C83F1A"/>
    <w:rsid w:val="00C86832"/>
    <w:rsid w:val="00C95176"/>
    <w:rsid w:val="00C97EF8"/>
    <w:rsid w:val="00CA4D5D"/>
    <w:rsid w:val="00CA75E4"/>
    <w:rsid w:val="00CB6A66"/>
    <w:rsid w:val="00CC3C0F"/>
    <w:rsid w:val="00CD0643"/>
    <w:rsid w:val="00CD3228"/>
    <w:rsid w:val="00CD3BBF"/>
    <w:rsid w:val="00CD583C"/>
    <w:rsid w:val="00CD6AE4"/>
    <w:rsid w:val="00CD6C3F"/>
    <w:rsid w:val="00CD724C"/>
    <w:rsid w:val="00CD73FF"/>
    <w:rsid w:val="00CE0998"/>
    <w:rsid w:val="00CE12C9"/>
    <w:rsid w:val="00CE275F"/>
    <w:rsid w:val="00CE5A9E"/>
    <w:rsid w:val="00CE71CA"/>
    <w:rsid w:val="00CF51C7"/>
    <w:rsid w:val="00D02396"/>
    <w:rsid w:val="00D13B27"/>
    <w:rsid w:val="00D1686E"/>
    <w:rsid w:val="00D172DA"/>
    <w:rsid w:val="00D21104"/>
    <w:rsid w:val="00D21809"/>
    <w:rsid w:val="00D30EF7"/>
    <w:rsid w:val="00D328AF"/>
    <w:rsid w:val="00D42296"/>
    <w:rsid w:val="00D523D1"/>
    <w:rsid w:val="00D531B1"/>
    <w:rsid w:val="00D55A6A"/>
    <w:rsid w:val="00D55A73"/>
    <w:rsid w:val="00D57AFD"/>
    <w:rsid w:val="00D65BA8"/>
    <w:rsid w:val="00D70D13"/>
    <w:rsid w:val="00D81C47"/>
    <w:rsid w:val="00D84155"/>
    <w:rsid w:val="00D84869"/>
    <w:rsid w:val="00DA14F0"/>
    <w:rsid w:val="00DA255F"/>
    <w:rsid w:val="00DA3CEC"/>
    <w:rsid w:val="00DA5956"/>
    <w:rsid w:val="00DA7C99"/>
    <w:rsid w:val="00DB2272"/>
    <w:rsid w:val="00DC254B"/>
    <w:rsid w:val="00DC2DA8"/>
    <w:rsid w:val="00DC2DD5"/>
    <w:rsid w:val="00DC556F"/>
    <w:rsid w:val="00DC764E"/>
    <w:rsid w:val="00DE7BFB"/>
    <w:rsid w:val="00DF484F"/>
    <w:rsid w:val="00E01710"/>
    <w:rsid w:val="00E0572D"/>
    <w:rsid w:val="00E06459"/>
    <w:rsid w:val="00E06550"/>
    <w:rsid w:val="00E11DD2"/>
    <w:rsid w:val="00E151CD"/>
    <w:rsid w:val="00E17856"/>
    <w:rsid w:val="00E20535"/>
    <w:rsid w:val="00E24198"/>
    <w:rsid w:val="00E36318"/>
    <w:rsid w:val="00E37321"/>
    <w:rsid w:val="00E41155"/>
    <w:rsid w:val="00E418F5"/>
    <w:rsid w:val="00E43001"/>
    <w:rsid w:val="00E44A13"/>
    <w:rsid w:val="00E46BF7"/>
    <w:rsid w:val="00E5174B"/>
    <w:rsid w:val="00E52206"/>
    <w:rsid w:val="00E56236"/>
    <w:rsid w:val="00E569C4"/>
    <w:rsid w:val="00E66140"/>
    <w:rsid w:val="00E66A17"/>
    <w:rsid w:val="00E674E0"/>
    <w:rsid w:val="00E676C3"/>
    <w:rsid w:val="00E7180D"/>
    <w:rsid w:val="00E737A0"/>
    <w:rsid w:val="00E759F1"/>
    <w:rsid w:val="00E83454"/>
    <w:rsid w:val="00E90A6C"/>
    <w:rsid w:val="00E9463E"/>
    <w:rsid w:val="00EA0759"/>
    <w:rsid w:val="00EA709A"/>
    <w:rsid w:val="00EB0321"/>
    <w:rsid w:val="00EB2A46"/>
    <w:rsid w:val="00EB63E8"/>
    <w:rsid w:val="00EB6B21"/>
    <w:rsid w:val="00EC2DE4"/>
    <w:rsid w:val="00EC4D8A"/>
    <w:rsid w:val="00EC52EA"/>
    <w:rsid w:val="00ED3E8D"/>
    <w:rsid w:val="00ED777C"/>
    <w:rsid w:val="00EE3A2B"/>
    <w:rsid w:val="00EE3D02"/>
    <w:rsid w:val="00EF27F6"/>
    <w:rsid w:val="00EF6091"/>
    <w:rsid w:val="00EF7A23"/>
    <w:rsid w:val="00EF7BD7"/>
    <w:rsid w:val="00F03C46"/>
    <w:rsid w:val="00F04A60"/>
    <w:rsid w:val="00F10698"/>
    <w:rsid w:val="00F12BC2"/>
    <w:rsid w:val="00F15BCD"/>
    <w:rsid w:val="00F22F2A"/>
    <w:rsid w:val="00F2494B"/>
    <w:rsid w:val="00F272F0"/>
    <w:rsid w:val="00F27703"/>
    <w:rsid w:val="00F31B06"/>
    <w:rsid w:val="00F406F7"/>
    <w:rsid w:val="00F4331C"/>
    <w:rsid w:val="00F43960"/>
    <w:rsid w:val="00F43B08"/>
    <w:rsid w:val="00F4504B"/>
    <w:rsid w:val="00F45273"/>
    <w:rsid w:val="00F4533D"/>
    <w:rsid w:val="00F453C7"/>
    <w:rsid w:val="00F46168"/>
    <w:rsid w:val="00F51759"/>
    <w:rsid w:val="00F72645"/>
    <w:rsid w:val="00F75A7E"/>
    <w:rsid w:val="00F77297"/>
    <w:rsid w:val="00F85574"/>
    <w:rsid w:val="00F925F9"/>
    <w:rsid w:val="00F95073"/>
    <w:rsid w:val="00FA3ABB"/>
    <w:rsid w:val="00FB063D"/>
    <w:rsid w:val="00FB21D1"/>
    <w:rsid w:val="00FB692C"/>
    <w:rsid w:val="00FC219F"/>
    <w:rsid w:val="00FD4BD8"/>
    <w:rsid w:val="00FD5095"/>
    <w:rsid w:val="00FD6325"/>
    <w:rsid w:val="00FE23EC"/>
    <w:rsid w:val="00FE5F07"/>
    <w:rsid w:val="00FF61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3E31"/>
  <w15:chartTrackingRefBased/>
  <w15:docId w15:val="{4C2F6AD3-9DCF-4197-AC60-828B1525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720"/>
    </w:pPr>
    <w:rPr>
      <w:rFonts w:ascii="新細明體"/>
      <w:sz w:val="36"/>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sid w:val="00417F75"/>
    <w:rPr>
      <w:rFonts w:ascii="Arial" w:hAnsi="Arial"/>
      <w:sz w:val="18"/>
      <w:szCs w:val="18"/>
    </w:rPr>
  </w:style>
  <w:style w:type="character" w:styleId="a7">
    <w:name w:val="Hyperlink"/>
    <w:basedOn w:val="a0"/>
    <w:rsid w:val="000E0C44"/>
    <w:rPr>
      <w:color w:val="0563C1" w:themeColor="hyperlink"/>
      <w:u w:val="single"/>
    </w:rPr>
  </w:style>
  <w:style w:type="character" w:styleId="a8">
    <w:name w:val="Unresolved Mention"/>
    <w:basedOn w:val="a0"/>
    <w:uiPriority w:val="99"/>
    <w:semiHidden/>
    <w:unhideWhenUsed/>
    <w:rsid w:val="000E0C44"/>
    <w:rPr>
      <w:color w:val="605E5C"/>
      <w:shd w:val="clear" w:color="auto" w:fill="E1DFDD"/>
    </w:rPr>
  </w:style>
  <w:style w:type="paragraph" w:styleId="a9">
    <w:name w:val="List Paragraph"/>
    <w:basedOn w:val="a"/>
    <w:uiPriority w:val="34"/>
    <w:qFormat/>
    <w:rsid w:val="000E0C44"/>
    <w:pPr>
      <w:ind w:leftChars="200" w:left="480"/>
    </w:pPr>
  </w:style>
  <w:style w:type="paragraph" w:styleId="aa">
    <w:name w:val="header"/>
    <w:basedOn w:val="a"/>
    <w:link w:val="ab"/>
    <w:rsid w:val="00E56236"/>
    <w:pPr>
      <w:tabs>
        <w:tab w:val="center" w:pos="4153"/>
        <w:tab w:val="right" w:pos="8306"/>
      </w:tabs>
      <w:snapToGrid w:val="0"/>
    </w:pPr>
    <w:rPr>
      <w:sz w:val="20"/>
    </w:rPr>
  </w:style>
  <w:style w:type="character" w:customStyle="1" w:styleId="ab">
    <w:name w:val="頁首 字元"/>
    <w:basedOn w:val="a0"/>
    <w:link w:val="aa"/>
    <w:rsid w:val="00E5623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307">
      <w:bodyDiv w:val="1"/>
      <w:marLeft w:val="0"/>
      <w:marRight w:val="0"/>
      <w:marTop w:val="0"/>
      <w:marBottom w:val="0"/>
      <w:divBdr>
        <w:top w:val="none" w:sz="0" w:space="0" w:color="auto"/>
        <w:left w:val="none" w:sz="0" w:space="0" w:color="auto"/>
        <w:bottom w:val="none" w:sz="0" w:space="0" w:color="auto"/>
        <w:right w:val="none" w:sz="0" w:space="0" w:color="auto"/>
      </w:divBdr>
    </w:div>
    <w:div w:id="1837187831">
      <w:bodyDiv w:val="1"/>
      <w:marLeft w:val="0"/>
      <w:marRight w:val="0"/>
      <w:marTop w:val="0"/>
      <w:marBottom w:val="0"/>
      <w:divBdr>
        <w:top w:val="none" w:sz="0" w:space="0" w:color="auto"/>
        <w:left w:val="none" w:sz="0" w:space="0" w:color="auto"/>
        <w:bottom w:val="none" w:sz="0" w:space="0" w:color="auto"/>
        <w:right w:val="none" w:sz="0" w:space="0" w:color="auto"/>
      </w:divBdr>
    </w:div>
    <w:div w:id="18752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lam@mail.mc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5986-BF11-46B6-9F73-8DF25228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法律諮詢表</dc:title>
  <dc:subject/>
  <dc:creator>TESTA</dc:creator>
  <cp:keywords/>
  <cp:lastModifiedBy>林榮詮</cp:lastModifiedBy>
  <cp:revision>13</cp:revision>
  <cp:lastPrinted>2020-06-16T06:02:00Z</cp:lastPrinted>
  <dcterms:created xsi:type="dcterms:W3CDTF">2020-09-24T03:27:00Z</dcterms:created>
  <dcterms:modified xsi:type="dcterms:W3CDTF">2025-12-30T11:55:00Z</dcterms:modified>
</cp:coreProperties>
</file>